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3CD" w:rsidRDefault="00CB63CD">
      <w:pPr>
        <w:spacing w:before="2400" w:line="773" w:lineRule="exact"/>
        <w:jc w:val="center"/>
        <w:rPr>
          <w:rFonts w:ascii="宋体" w:eastAsia="宋体" w:hAnsi="宋体" w:cs="宋体"/>
          <w:b/>
          <w:bCs/>
          <w:sz w:val="36"/>
          <w:szCs w:val="36"/>
        </w:rPr>
      </w:pPr>
      <w:r>
        <w:rPr>
          <w:noProof/>
          <w:kern w:val="0"/>
          <w:sz w:val="24"/>
          <w:szCs w:val="24"/>
        </w:rPr>
        <w:drawing>
          <wp:inline distT="0" distB="0" distL="0" distR="0">
            <wp:extent cx="1638300" cy="94488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944880"/>
                    </a:xfrm>
                    <a:prstGeom prst="rect">
                      <a:avLst/>
                    </a:prstGeom>
                    <a:noFill/>
                    <a:ln>
                      <a:noFill/>
                    </a:ln>
                  </pic:spPr>
                </pic:pic>
              </a:graphicData>
            </a:graphic>
          </wp:inline>
        </w:drawing>
      </w:r>
    </w:p>
    <w:p w:rsidR="00F068AD" w:rsidRDefault="00CB63CD" w:rsidP="00CB63CD">
      <w:pPr>
        <w:spacing w:before="1680" w:line="773" w:lineRule="exact"/>
        <w:jc w:val="center"/>
        <w:rPr>
          <w:rFonts w:ascii="宋体" w:eastAsia="宋体" w:hAnsi="宋体" w:cs="宋体"/>
          <w:b/>
          <w:bCs/>
          <w:sz w:val="36"/>
          <w:szCs w:val="36"/>
        </w:rPr>
      </w:pPr>
      <w:r>
        <w:rPr>
          <w:rFonts w:ascii="宋体" w:eastAsia="宋体" w:hAnsi="宋体" w:cs="宋体"/>
          <w:b/>
          <w:bCs/>
          <w:sz w:val="36"/>
          <w:szCs w:val="36"/>
        </w:rPr>
        <w:t>江苏华西村股份有限公司</w:t>
      </w:r>
    </w:p>
    <w:p w:rsidR="00F068AD" w:rsidRDefault="00CB63CD">
      <w:pPr>
        <w:spacing w:before="1000" w:line="320" w:lineRule="exact"/>
        <w:jc w:val="center"/>
        <w:rPr>
          <w:rFonts w:ascii="宋体" w:eastAsia="宋体" w:hAnsi="宋体" w:cs="宋体"/>
          <w:b/>
          <w:bCs/>
          <w:sz w:val="32"/>
          <w:szCs w:val="32"/>
        </w:rPr>
      </w:pPr>
      <w:r>
        <w:rPr>
          <w:rFonts w:ascii="宋体" w:eastAsia="宋体" w:hAnsi="宋体" w:cs="宋体"/>
          <w:b/>
          <w:bCs/>
          <w:sz w:val="32"/>
          <w:szCs w:val="32"/>
        </w:rPr>
        <w:t>2022年半年度报告</w:t>
      </w:r>
    </w:p>
    <w:p w:rsidR="00F068AD" w:rsidRDefault="00F068AD">
      <w:pPr>
        <w:spacing w:before="1000" w:line="240" w:lineRule="exact"/>
        <w:jc w:val="center"/>
        <w:rPr>
          <w:rFonts w:ascii="宋体" w:eastAsia="宋体" w:hAnsi="宋体" w:cs="宋体"/>
          <w:b/>
          <w:bCs/>
          <w:szCs w:val="21"/>
        </w:rPr>
      </w:pPr>
    </w:p>
    <w:p w:rsidR="00F068AD" w:rsidRDefault="00F068AD">
      <w:pPr>
        <w:spacing w:before="1000" w:after="1000" w:line="0" w:lineRule="atLeast"/>
        <w:jc w:val="center"/>
        <w:rPr>
          <w:rFonts w:ascii="Times New Roman" w:eastAsia="宋体" w:hAnsi="Times New Roman" w:cs="Times New Roman"/>
        </w:rPr>
      </w:pPr>
    </w:p>
    <w:p w:rsidR="00CB63CD" w:rsidRDefault="00CB63CD">
      <w:pPr>
        <w:spacing w:before="1000" w:after="1000" w:line="0" w:lineRule="atLeast"/>
        <w:jc w:val="center"/>
        <w:rPr>
          <w:rFonts w:ascii="Times New Roman" w:eastAsia="宋体" w:hAnsi="Times New Roman" w:cs="Times New Roman"/>
        </w:rPr>
      </w:pPr>
    </w:p>
    <w:p w:rsidR="00CB63CD" w:rsidRDefault="00CB63CD">
      <w:pPr>
        <w:spacing w:before="1000" w:after="1000" w:line="0" w:lineRule="atLeast"/>
        <w:jc w:val="center"/>
        <w:rPr>
          <w:rFonts w:ascii="Times New Roman" w:eastAsia="宋体" w:hAnsi="Times New Roman" w:cs="Times New Roman"/>
        </w:rPr>
      </w:pPr>
    </w:p>
    <w:p w:rsidR="00F068AD" w:rsidRPr="00D563DE" w:rsidRDefault="00CB63CD">
      <w:pPr>
        <w:spacing w:before="400" w:line="320" w:lineRule="exact"/>
        <w:jc w:val="center"/>
        <w:rPr>
          <w:rFonts w:ascii="宋体" w:eastAsia="宋体" w:hAnsi="宋体" w:cs="宋体"/>
          <w:b/>
          <w:bCs/>
          <w:sz w:val="30"/>
          <w:szCs w:val="30"/>
        </w:rPr>
      </w:pPr>
      <w:r w:rsidRPr="00D563DE">
        <w:rPr>
          <w:rFonts w:ascii="宋体" w:eastAsia="宋体" w:hAnsi="宋体" w:cs="宋体" w:hint="eastAsia"/>
          <w:b/>
          <w:bCs/>
          <w:sz w:val="30"/>
          <w:szCs w:val="30"/>
        </w:rPr>
        <w:t>2022年8月</w:t>
      </w:r>
    </w:p>
    <w:p w:rsidR="00F068AD" w:rsidRPr="00D563DE" w:rsidRDefault="00CB63CD">
      <w:pPr>
        <w:rPr>
          <w:sz w:val="30"/>
          <w:szCs w:val="30"/>
        </w:rPr>
      </w:pPr>
      <w:r w:rsidRPr="00D563DE">
        <w:rPr>
          <w:sz w:val="30"/>
          <w:szCs w:val="30"/>
        </w:rPr>
        <w:br w:type="page"/>
      </w:r>
    </w:p>
    <w:p w:rsidR="00F068AD" w:rsidRDefault="00CB63CD">
      <w:pPr>
        <w:pStyle w:val="headingh1"/>
        <w:spacing w:before="340" w:after="330" w:line="773" w:lineRule="exact"/>
        <w:jc w:val="center"/>
        <w:rPr>
          <w:rFonts w:ascii="宋体" w:eastAsia="宋体" w:hAnsi="宋体" w:cs="宋体"/>
          <w:b/>
          <w:bCs/>
          <w:sz w:val="32"/>
          <w:szCs w:val="32"/>
        </w:rPr>
      </w:pPr>
      <w:bookmarkStart w:id="0" w:name="_Toc988889"/>
      <w:r>
        <w:rPr>
          <w:rFonts w:ascii="宋体" w:eastAsia="宋体" w:hAnsi="宋体" w:cs="宋体"/>
          <w:b/>
          <w:bCs/>
          <w:sz w:val="32"/>
          <w:szCs w:val="32"/>
        </w:rPr>
        <w:lastRenderedPageBreak/>
        <w:t>第一节 重要提示、目录和释义</w:t>
      </w:r>
      <w:bookmarkEnd w:id="0"/>
    </w:p>
    <w:p w:rsidR="00F068AD" w:rsidRDefault="00CB63CD" w:rsidP="00CB63CD">
      <w:pPr>
        <w:spacing w:before="40" w:after="40" w:line="560" w:lineRule="exact"/>
        <w:ind w:firstLineChars="200" w:firstLine="562"/>
        <w:rPr>
          <w:rFonts w:ascii="宋体" w:eastAsia="宋体" w:hAnsi="宋体" w:cs="宋体"/>
          <w:b/>
          <w:bCs/>
          <w:sz w:val="28"/>
          <w:szCs w:val="28"/>
        </w:rPr>
      </w:pPr>
      <w:r>
        <w:rPr>
          <w:rFonts w:ascii="宋体" w:eastAsia="宋体" w:hAnsi="宋体" w:cs="宋体"/>
          <w:b/>
          <w:bCs/>
          <w:sz w:val="28"/>
          <w:szCs w:val="28"/>
        </w:rPr>
        <w:t>公司董事会、监事会及董事、监事、高级管理人员保证半年度报告内容的真实、准确、完整，不存在虚假记载、误导性陈述或者重大遗漏，并承担个别和连带的法律责任。</w:t>
      </w:r>
    </w:p>
    <w:p w:rsidR="00F068AD" w:rsidRDefault="00CB63CD" w:rsidP="00CB63CD">
      <w:pPr>
        <w:spacing w:line="560" w:lineRule="exact"/>
        <w:ind w:firstLineChars="200" w:firstLine="562"/>
        <w:rPr>
          <w:rFonts w:ascii="宋体" w:eastAsia="宋体" w:hAnsi="宋体" w:cs="宋体"/>
          <w:b/>
          <w:bCs/>
          <w:sz w:val="28"/>
          <w:szCs w:val="28"/>
        </w:rPr>
      </w:pPr>
      <w:r>
        <w:rPr>
          <w:rFonts w:ascii="宋体" w:eastAsia="宋体" w:hAnsi="宋体" w:cs="宋体"/>
          <w:b/>
          <w:bCs/>
          <w:sz w:val="28"/>
          <w:szCs w:val="28"/>
        </w:rPr>
        <w:t>公司负责人吴协恩、主管会计工作负责人李满良及会计机构负责人(会计主管人员)</w:t>
      </w:r>
      <w:proofErr w:type="gramStart"/>
      <w:r>
        <w:rPr>
          <w:rFonts w:ascii="宋体" w:eastAsia="宋体" w:hAnsi="宋体" w:cs="宋体"/>
          <w:b/>
          <w:bCs/>
          <w:sz w:val="28"/>
          <w:szCs w:val="28"/>
        </w:rPr>
        <w:t>徐建蓉声明</w:t>
      </w:r>
      <w:proofErr w:type="gramEnd"/>
      <w:r>
        <w:rPr>
          <w:rFonts w:ascii="宋体" w:eastAsia="宋体" w:hAnsi="宋体" w:cs="宋体"/>
          <w:b/>
          <w:bCs/>
          <w:sz w:val="28"/>
          <w:szCs w:val="28"/>
        </w:rPr>
        <w:t>：</w:t>
      </w:r>
      <w:proofErr w:type="gramStart"/>
      <w:r>
        <w:rPr>
          <w:rFonts w:ascii="宋体" w:eastAsia="宋体" w:hAnsi="宋体" w:cs="宋体"/>
          <w:b/>
          <w:bCs/>
          <w:sz w:val="28"/>
          <w:szCs w:val="28"/>
        </w:rPr>
        <w:t>保证本半年度</w:t>
      </w:r>
      <w:proofErr w:type="gramEnd"/>
      <w:r>
        <w:rPr>
          <w:rFonts w:ascii="宋体" w:eastAsia="宋体" w:hAnsi="宋体" w:cs="宋体"/>
          <w:b/>
          <w:bCs/>
          <w:sz w:val="28"/>
          <w:szCs w:val="28"/>
        </w:rPr>
        <w:t>报告中财务报告的真实、准确、完整。</w:t>
      </w:r>
    </w:p>
    <w:p w:rsidR="00F068AD" w:rsidRDefault="00CB63CD" w:rsidP="00CB63CD">
      <w:pPr>
        <w:spacing w:line="560" w:lineRule="exact"/>
        <w:ind w:firstLineChars="200" w:firstLine="562"/>
        <w:rPr>
          <w:rFonts w:ascii="宋体" w:eastAsia="宋体" w:hAnsi="宋体" w:cs="宋体"/>
          <w:b/>
          <w:bCs/>
          <w:sz w:val="28"/>
          <w:szCs w:val="28"/>
        </w:rPr>
      </w:pPr>
      <w:r>
        <w:rPr>
          <w:rFonts w:ascii="宋体" w:eastAsia="宋体" w:hAnsi="宋体" w:cs="宋体"/>
          <w:b/>
          <w:bCs/>
          <w:sz w:val="28"/>
          <w:szCs w:val="28"/>
        </w:rPr>
        <w:t>所有董事均已出席了审议本报告的董事会会议。</w:t>
      </w:r>
    </w:p>
    <w:p w:rsidR="00CB63CD" w:rsidRDefault="00CB63CD">
      <w:pPr>
        <w:pStyle w:val="a3"/>
        <w:spacing w:line="560" w:lineRule="atLeast"/>
        <w:ind w:firstLine="480"/>
        <w:divId w:val="233243089"/>
        <w:rPr>
          <w:b/>
          <w:bCs/>
          <w:sz w:val="28"/>
          <w:szCs w:val="28"/>
        </w:rPr>
      </w:pPr>
      <w:r>
        <w:rPr>
          <w:rFonts w:hint="eastAsia"/>
          <w:b/>
          <w:bCs/>
          <w:sz w:val="28"/>
          <w:szCs w:val="28"/>
        </w:rPr>
        <w:t>公司半年度报告涉及的未来计划、发展战略等前瞻性陈述不构成公司对投资者的实质承诺，投资者及相关人士均应当对此保持足够的风险认识，并且应当理解计划、预测与承诺之间的差异。</w:t>
      </w:r>
    </w:p>
    <w:p w:rsidR="00CB63CD" w:rsidRDefault="00CB63CD">
      <w:pPr>
        <w:pStyle w:val="a3"/>
        <w:spacing w:line="560" w:lineRule="atLeast"/>
        <w:ind w:firstLine="480"/>
        <w:divId w:val="1193610842"/>
        <w:rPr>
          <w:b/>
          <w:bCs/>
          <w:sz w:val="28"/>
          <w:szCs w:val="28"/>
        </w:rPr>
      </w:pPr>
      <w:r>
        <w:rPr>
          <w:rFonts w:hint="eastAsia"/>
          <w:b/>
          <w:bCs/>
          <w:sz w:val="28"/>
          <w:szCs w:val="28"/>
        </w:rPr>
        <w:t>本报告中描述了公司可能面临的风险，敬请投资者阅读本报告第三节“管理层讨论与分析”中相应的内容。</w:t>
      </w:r>
    </w:p>
    <w:p w:rsidR="00F068AD" w:rsidRDefault="00CB63CD" w:rsidP="00CB63CD">
      <w:pPr>
        <w:spacing w:line="560" w:lineRule="exact"/>
        <w:ind w:firstLineChars="200" w:firstLine="562"/>
        <w:rPr>
          <w:rFonts w:ascii="宋体" w:eastAsia="宋体" w:hAnsi="宋体" w:cs="宋体"/>
          <w:b/>
          <w:bCs/>
          <w:sz w:val="28"/>
          <w:szCs w:val="28"/>
        </w:rPr>
      </w:pPr>
      <w:r>
        <w:rPr>
          <w:rFonts w:ascii="宋体" w:eastAsia="宋体" w:hAnsi="宋体" w:cs="宋体"/>
          <w:b/>
          <w:bCs/>
          <w:sz w:val="28"/>
          <w:szCs w:val="28"/>
        </w:rPr>
        <w:t>公司计划不派发现金红利，不送红股，不以公积金转增股本。</w:t>
      </w:r>
    </w:p>
    <w:p w:rsidR="00F068AD" w:rsidRDefault="00CB63CD">
      <w:r>
        <w:br w:type="page"/>
      </w:r>
    </w:p>
    <w:p w:rsidR="00CB63CD" w:rsidRDefault="00CB63CD">
      <w:pPr>
        <w:spacing w:line="720" w:lineRule="exact"/>
        <w:jc w:val="center"/>
        <w:rPr>
          <w:rFonts w:ascii="宋体" w:eastAsia="宋体" w:hAnsi="宋体" w:cs="宋体"/>
          <w:b/>
          <w:bCs/>
          <w:sz w:val="36"/>
          <w:szCs w:val="36"/>
        </w:rPr>
      </w:pPr>
    </w:p>
    <w:p w:rsidR="00F068AD" w:rsidRDefault="00CB63CD">
      <w:pPr>
        <w:spacing w:line="720" w:lineRule="exact"/>
        <w:jc w:val="center"/>
        <w:rPr>
          <w:rFonts w:ascii="宋体" w:eastAsia="宋体" w:hAnsi="宋体" w:cs="宋体"/>
          <w:b/>
          <w:bCs/>
          <w:sz w:val="36"/>
          <w:szCs w:val="36"/>
        </w:rPr>
      </w:pPr>
      <w:r>
        <w:rPr>
          <w:rFonts w:ascii="宋体" w:eastAsia="宋体" w:hAnsi="宋体" w:cs="宋体"/>
          <w:b/>
          <w:bCs/>
          <w:sz w:val="36"/>
          <w:szCs w:val="36"/>
        </w:rPr>
        <w:t>目</w:t>
      </w:r>
      <w:r>
        <w:rPr>
          <w:rFonts w:ascii="宋体" w:eastAsia="宋体" w:hAnsi="宋体" w:cs="宋体" w:hint="eastAsia"/>
          <w:b/>
          <w:bCs/>
          <w:sz w:val="36"/>
          <w:szCs w:val="36"/>
        </w:rPr>
        <w:t xml:space="preserve">   </w:t>
      </w:r>
      <w:r>
        <w:rPr>
          <w:rFonts w:ascii="宋体" w:eastAsia="宋体" w:hAnsi="宋体" w:cs="宋体"/>
          <w:b/>
          <w:bCs/>
          <w:sz w:val="36"/>
          <w:szCs w:val="36"/>
        </w:rPr>
        <w:t>录</w:t>
      </w:r>
    </w:p>
    <w:p w:rsidR="00CB63CD" w:rsidRDefault="00CB63CD">
      <w:pPr>
        <w:spacing w:line="720" w:lineRule="exact"/>
        <w:jc w:val="center"/>
        <w:rPr>
          <w:rFonts w:ascii="宋体" w:eastAsia="宋体" w:hAnsi="宋体" w:cs="宋体"/>
          <w:b/>
          <w:bCs/>
          <w:sz w:val="36"/>
          <w:szCs w:val="36"/>
        </w:rPr>
      </w:pPr>
    </w:p>
    <w:p w:rsidR="00F068AD" w:rsidRPr="00CB63CD" w:rsidRDefault="00CB63CD" w:rsidP="00CB63CD">
      <w:pPr>
        <w:pStyle w:val="1"/>
        <w:tabs>
          <w:tab w:val="left" w:leader="dot" w:pos="9469"/>
        </w:tabs>
        <w:spacing w:line="480" w:lineRule="auto"/>
        <w:rPr>
          <w:rFonts w:asciiTheme="minorEastAsia" w:hAnsiTheme="minorEastAsia"/>
          <w:noProof/>
        </w:rPr>
      </w:pPr>
      <w:r w:rsidRPr="00CB63CD">
        <w:rPr>
          <w:rFonts w:asciiTheme="minorEastAsia" w:hAnsiTheme="minorEastAsia"/>
        </w:rPr>
        <w:fldChar w:fldCharType="begin"/>
      </w:r>
      <w:r w:rsidRPr="00CB63CD">
        <w:rPr>
          <w:rFonts w:asciiTheme="minorEastAsia" w:hAnsiTheme="minorEastAsia"/>
        </w:rPr>
        <w:instrText xml:space="preserve"> </w:instrText>
      </w:r>
      <w:r w:rsidRPr="00CB63CD">
        <w:rPr>
          <w:rFonts w:asciiTheme="minorEastAsia" w:hAnsiTheme="minorEastAsia" w:hint="eastAsia"/>
        </w:rPr>
        <w:instrText>TOC \o "1-2" \h \z \u</w:instrText>
      </w:r>
      <w:r w:rsidRPr="00CB63CD">
        <w:rPr>
          <w:rFonts w:asciiTheme="minorEastAsia" w:hAnsiTheme="minorEastAsia"/>
        </w:rPr>
        <w:instrText xml:space="preserve"> </w:instrText>
      </w:r>
      <w:r w:rsidRPr="00CB63CD">
        <w:rPr>
          <w:rFonts w:asciiTheme="minorEastAsia" w:hAnsiTheme="minorEastAsia"/>
        </w:rPr>
        <w:fldChar w:fldCharType="separate"/>
      </w:r>
      <w:hyperlink w:anchor="_Toc988889" w:history="1">
        <w:r w:rsidRPr="00CB63CD">
          <w:rPr>
            <w:rFonts w:asciiTheme="minorEastAsia" w:hAnsiTheme="minorEastAsia" w:hint="eastAsia"/>
            <w:b/>
            <w:bCs/>
            <w:noProof/>
            <w:sz w:val="24"/>
          </w:rPr>
          <w:t>第一节 重要提示、目录和释义</w:t>
        </w:r>
        <w:r w:rsidRPr="00CB63CD">
          <w:rPr>
            <w:rFonts w:asciiTheme="minorEastAsia" w:hAnsiTheme="minorEastAsia"/>
            <w:noProof/>
            <w:webHidden/>
          </w:rPr>
          <w:tab/>
        </w:r>
        <w:r w:rsidRPr="00CB63CD">
          <w:rPr>
            <w:rFonts w:asciiTheme="minorEastAsia" w:hAnsiTheme="minorEastAsia"/>
            <w:noProof/>
            <w:webHidden/>
          </w:rPr>
          <w:fldChar w:fldCharType="begin"/>
        </w:r>
        <w:r w:rsidRPr="00CB63CD">
          <w:rPr>
            <w:rFonts w:asciiTheme="minorEastAsia" w:hAnsiTheme="minorEastAsia"/>
            <w:noProof/>
            <w:webHidden/>
          </w:rPr>
          <w:instrText xml:space="preserve"> PAGEREF _Toc988889 \h </w:instrText>
        </w:r>
        <w:r w:rsidRPr="00CB63CD">
          <w:rPr>
            <w:rFonts w:asciiTheme="minorEastAsia" w:hAnsiTheme="minorEastAsia"/>
            <w:noProof/>
            <w:webHidden/>
          </w:rPr>
        </w:r>
        <w:r w:rsidRPr="00CB63CD">
          <w:rPr>
            <w:rFonts w:asciiTheme="minorEastAsia" w:hAnsiTheme="minorEastAsia"/>
            <w:noProof/>
            <w:webHidden/>
          </w:rPr>
          <w:fldChar w:fldCharType="separate"/>
        </w:r>
        <w:r w:rsidR="002107A8">
          <w:rPr>
            <w:rFonts w:asciiTheme="minorEastAsia" w:hAnsiTheme="minorEastAsia"/>
            <w:noProof/>
            <w:webHidden/>
          </w:rPr>
          <w:t>2</w:t>
        </w:r>
        <w:r w:rsidRPr="00CB63CD">
          <w:rPr>
            <w:rFonts w:asciiTheme="minorEastAsia" w:hAnsiTheme="minorEastAsia"/>
            <w:noProof/>
            <w:webHidden/>
          </w:rPr>
          <w:fldChar w:fldCharType="end"/>
        </w:r>
      </w:hyperlink>
    </w:p>
    <w:p w:rsidR="00F068AD" w:rsidRPr="00CB63CD" w:rsidRDefault="00E7542F" w:rsidP="00CB63CD">
      <w:pPr>
        <w:pStyle w:val="1"/>
        <w:tabs>
          <w:tab w:val="left" w:leader="dot" w:pos="9469"/>
        </w:tabs>
        <w:spacing w:line="480" w:lineRule="auto"/>
        <w:rPr>
          <w:rFonts w:asciiTheme="minorEastAsia" w:hAnsiTheme="minorEastAsia"/>
          <w:noProof/>
        </w:rPr>
      </w:pPr>
      <w:hyperlink w:anchor="_Toc988890" w:history="1">
        <w:r w:rsidR="00CB63CD" w:rsidRPr="00CB63CD">
          <w:rPr>
            <w:rFonts w:asciiTheme="minorEastAsia" w:hAnsiTheme="minorEastAsia" w:hint="eastAsia"/>
            <w:b/>
            <w:bCs/>
            <w:noProof/>
            <w:sz w:val="24"/>
          </w:rPr>
          <w:t>第二节 公司简介和主要财务指标</w:t>
        </w:r>
        <w:r w:rsidR="00CB63CD" w:rsidRPr="00CB63CD">
          <w:rPr>
            <w:rFonts w:asciiTheme="minorEastAsia" w:hAnsiTheme="minorEastAsia"/>
            <w:noProof/>
            <w:webHidden/>
          </w:rPr>
          <w:tab/>
        </w:r>
        <w:r w:rsidR="00CB63CD" w:rsidRPr="00CB63CD">
          <w:rPr>
            <w:rFonts w:asciiTheme="minorEastAsia" w:hAnsiTheme="minorEastAsia"/>
            <w:noProof/>
            <w:webHidden/>
          </w:rPr>
          <w:fldChar w:fldCharType="begin"/>
        </w:r>
        <w:r w:rsidR="00CB63CD" w:rsidRPr="00CB63CD">
          <w:rPr>
            <w:rFonts w:asciiTheme="minorEastAsia" w:hAnsiTheme="minorEastAsia"/>
            <w:noProof/>
            <w:webHidden/>
          </w:rPr>
          <w:instrText xml:space="preserve"> PAGEREF _Toc988890 \h </w:instrText>
        </w:r>
        <w:r w:rsidR="00CB63CD" w:rsidRPr="00CB63CD">
          <w:rPr>
            <w:rFonts w:asciiTheme="minorEastAsia" w:hAnsiTheme="minorEastAsia"/>
            <w:noProof/>
            <w:webHidden/>
          </w:rPr>
        </w:r>
        <w:r w:rsidR="00CB63CD" w:rsidRPr="00CB63CD">
          <w:rPr>
            <w:rFonts w:asciiTheme="minorEastAsia" w:hAnsiTheme="minorEastAsia"/>
            <w:noProof/>
            <w:webHidden/>
          </w:rPr>
          <w:fldChar w:fldCharType="separate"/>
        </w:r>
        <w:r w:rsidR="002107A8">
          <w:rPr>
            <w:rFonts w:asciiTheme="minorEastAsia" w:hAnsiTheme="minorEastAsia"/>
            <w:noProof/>
            <w:webHidden/>
          </w:rPr>
          <w:t>6</w:t>
        </w:r>
        <w:r w:rsidR="00CB63CD" w:rsidRPr="00CB63CD">
          <w:rPr>
            <w:rFonts w:asciiTheme="minorEastAsia" w:hAnsiTheme="minorEastAsia"/>
            <w:noProof/>
            <w:webHidden/>
          </w:rPr>
          <w:fldChar w:fldCharType="end"/>
        </w:r>
      </w:hyperlink>
    </w:p>
    <w:p w:rsidR="00F068AD" w:rsidRPr="00CB63CD" w:rsidRDefault="00E7542F" w:rsidP="00CB63CD">
      <w:pPr>
        <w:pStyle w:val="1"/>
        <w:tabs>
          <w:tab w:val="left" w:leader="dot" w:pos="9469"/>
        </w:tabs>
        <w:spacing w:line="480" w:lineRule="auto"/>
        <w:rPr>
          <w:rFonts w:asciiTheme="minorEastAsia" w:hAnsiTheme="minorEastAsia"/>
          <w:noProof/>
        </w:rPr>
      </w:pPr>
      <w:hyperlink w:anchor="_Toc988902" w:history="1">
        <w:r w:rsidR="00CB63CD" w:rsidRPr="00CB63CD">
          <w:rPr>
            <w:rFonts w:asciiTheme="minorEastAsia" w:hAnsiTheme="minorEastAsia" w:hint="eastAsia"/>
            <w:b/>
            <w:bCs/>
            <w:noProof/>
            <w:sz w:val="24"/>
          </w:rPr>
          <w:t>第三节 管理层讨论与分析</w:t>
        </w:r>
        <w:r w:rsidR="00CB63CD" w:rsidRPr="00CB63CD">
          <w:rPr>
            <w:rFonts w:asciiTheme="minorEastAsia" w:hAnsiTheme="minorEastAsia"/>
            <w:noProof/>
            <w:webHidden/>
          </w:rPr>
          <w:tab/>
        </w:r>
        <w:r w:rsidR="00CB63CD" w:rsidRPr="00CB63CD">
          <w:rPr>
            <w:rFonts w:asciiTheme="minorEastAsia" w:hAnsiTheme="minorEastAsia"/>
            <w:noProof/>
            <w:webHidden/>
          </w:rPr>
          <w:fldChar w:fldCharType="begin"/>
        </w:r>
        <w:r w:rsidR="00CB63CD" w:rsidRPr="00CB63CD">
          <w:rPr>
            <w:rFonts w:asciiTheme="minorEastAsia" w:hAnsiTheme="minorEastAsia"/>
            <w:noProof/>
            <w:webHidden/>
          </w:rPr>
          <w:instrText xml:space="preserve"> PAGEREF _Toc988902 \h </w:instrText>
        </w:r>
        <w:r w:rsidR="00CB63CD" w:rsidRPr="00CB63CD">
          <w:rPr>
            <w:rFonts w:asciiTheme="minorEastAsia" w:hAnsiTheme="minorEastAsia"/>
            <w:noProof/>
            <w:webHidden/>
          </w:rPr>
        </w:r>
        <w:r w:rsidR="00CB63CD" w:rsidRPr="00CB63CD">
          <w:rPr>
            <w:rFonts w:asciiTheme="minorEastAsia" w:hAnsiTheme="minorEastAsia"/>
            <w:noProof/>
            <w:webHidden/>
          </w:rPr>
          <w:fldChar w:fldCharType="separate"/>
        </w:r>
        <w:r w:rsidR="002107A8">
          <w:rPr>
            <w:rFonts w:asciiTheme="minorEastAsia" w:hAnsiTheme="minorEastAsia"/>
            <w:noProof/>
            <w:webHidden/>
          </w:rPr>
          <w:t>9</w:t>
        </w:r>
        <w:r w:rsidR="00CB63CD" w:rsidRPr="00CB63CD">
          <w:rPr>
            <w:rFonts w:asciiTheme="minorEastAsia" w:hAnsiTheme="minorEastAsia"/>
            <w:noProof/>
            <w:webHidden/>
          </w:rPr>
          <w:fldChar w:fldCharType="end"/>
        </w:r>
      </w:hyperlink>
    </w:p>
    <w:p w:rsidR="00F068AD" w:rsidRPr="00CB63CD" w:rsidRDefault="00E7542F" w:rsidP="00CB63CD">
      <w:pPr>
        <w:pStyle w:val="1"/>
        <w:tabs>
          <w:tab w:val="left" w:leader="dot" w:pos="9469"/>
        </w:tabs>
        <w:spacing w:line="480" w:lineRule="auto"/>
        <w:rPr>
          <w:rFonts w:asciiTheme="minorEastAsia" w:hAnsiTheme="minorEastAsia"/>
          <w:noProof/>
        </w:rPr>
      </w:pPr>
      <w:hyperlink w:anchor="_Toc988926" w:history="1">
        <w:r w:rsidR="00CB63CD" w:rsidRPr="00CB63CD">
          <w:rPr>
            <w:rFonts w:asciiTheme="minorEastAsia" w:hAnsiTheme="minorEastAsia" w:hint="eastAsia"/>
            <w:b/>
            <w:bCs/>
            <w:noProof/>
            <w:sz w:val="24"/>
          </w:rPr>
          <w:t>第四节 公司治理</w:t>
        </w:r>
        <w:r w:rsidR="00CB63CD" w:rsidRPr="00CB63CD">
          <w:rPr>
            <w:rFonts w:asciiTheme="minorEastAsia" w:hAnsiTheme="minorEastAsia"/>
            <w:noProof/>
            <w:webHidden/>
          </w:rPr>
          <w:tab/>
        </w:r>
        <w:r w:rsidR="00CB63CD" w:rsidRPr="00CB63CD">
          <w:rPr>
            <w:rFonts w:asciiTheme="minorEastAsia" w:hAnsiTheme="minorEastAsia"/>
            <w:noProof/>
            <w:webHidden/>
          </w:rPr>
          <w:fldChar w:fldCharType="begin"/>
        </w:r>
        <w:r w:rsidR="00CB63CD" w:rsidRPr="00CB63CD">
          <w:rPr>
            <w:rFonts w:asciiTheme="minorEastAsia" w:hAnsiTheme="minorEastAsia"/>
            <w:noProof/>
            <w:webHidden/>
          </w:rPr>
          <w:instrText xml:space="preserve"> PAGEREF _Toc988926 \h </w:instrText>
        </w:r>
        <w:r w:rsidR="00CB63CD" w:rsidRPr="00CB63CD">
          <w:rPr>
            <w:rFonts w:asciiTheme="minorEastAsia" w:hAnsiTheme="minorEastAsia"/>
            <w:noProof/>
            <w:webHidden/>
          </w:rPr>
        </w:r>
        <w:r w:rsidR="00CB63CD" w:rsidRPr="00CB63CD">
          <w:rPr>
            <w:rFonts w:asciiTheme="minorEastAsia" w:hAnsiTheme="minorEastAsia"/>
            <w:noProof/>
            <w:webHidden/>
          </w:rPr>
          <w:fldChar w:fldCharType="separate"/>
        </w:r>
        <w:r w:rsidR="002107A8">
          <w:rPr>
            <w:rFonts w:asciiTheme="minorEastAsia" w:hAnsiTheme="minorEastAsia"/>
            <w:noProof/>
            <w:webHidden/>
          </w:rPr>
          <w:t>22</w:t>
        </w:r>
        <w:r w:rsidR="00CB63CD" w:rsidRPr="00CB63CD">
          <w:rPr>
            <w:rFonts w:asciiTheme="minorEastAsia" w:hAnsiTheme="minorEastAsia"/>
            <w:noProof/>
            <w:webHidden/>
          </w:rPr>
          <w:fldChar w:fldCharType="end"/>
        </w:r>
      </w:hyperlink>
    </w:p>
    <w:p w:rsidR="00F068AD" w:rsidRPr="00CB63CD" w:rsidRDefault="00E7542F" w:rsidP="00CB63CD">
      <w:pPr>
        <w:pStyle w:val="1"/>
        <w:tabs>
          <w:tab w:val="left" w:leader="dot" w:pos="9469"/>
        </w:tabs>
        <w:spacing w:line="480" w:lineRule="auto"/>
        <w:rPr>
          <w:rFonts w:asciiTheme="minorEastAsia" w:hAnsiTheme="minorEastAsia"/>
          <w:noProof/>
        </w:rPr>
      </w:pPr>
      <w:hyperlink w:anchor="_Toc988933" w:history="1">
        <w:r w:rsidR="00CB63CD" w:rsidRPr="00CB63CD">
          <w:rPr>
            <w:rFonts w:asciiTheme="minorEastAsia" w:hAnsiTheme="minorEastAsia" w:hint="eastAsia"/>
            <w:b/>
            <w:bCs/>
            <w:noProof/>
            <w:sz w:val="24"/>
          </w:rPr>
          <w:t>第五节 环境和社会责任</w:t>
        </w:r>
        <w:r w:rsidR="00CB63CD" w:rsidRPr="00CB63CD">
          <w:rPr>
            <w:rFonts w:asciiTheme="minorEastAsia" w:hAnsiTheme="minorEastAsia"/>
            <w:noProof/>
            <w:webHidden/>
          </w:rPr>
          <w:tab/>
        </w:r>
        <w:r w:rsidR="00CB63CD" w:rsidRPr="00CB63CD">
          <w:rPr>
            <w:rFonts w:asciiTheme="minorEastAsia" w:hAnsiTheme="minorEastAsia"/>
            <w:noProof/>
            <w:webHidden/>
          </w:rPr>
          <w:fldChar w:fldCharType="begin"/>
        </w:r>
        <w:r w:rsidR="00CB63CD" w:rsidRPr="00CB63CD">
          <w:rPr>
            <w:rFonts w:asciiTheme="minorEastAsia" w:hAnsiTheme="minorEastAsia"/>
            <w:noProof/>
            <w:webHidden/>
          </w:rPr>
          <w:instrText xml:space="preserve"> PAGEREF _Toc988933 \h </w:instrText>
        </w:r>
        <w:r w:rsidR="00CB63CD" w:rsidRPr="00CB63CD">
          <w:rPr>
            <w:rFonts w:asciiTheme="minorEastAsia" w:hAnsiTheme="minorEastAsia"/>
            <w:noProof/>
            <w:webHidden/>
          </w:rPr>
        </w:r>
        <w:r w:rsidR="00CB63CD" w:rsidRPr="00CB63CD">
          <w:rPr>
            <w:rFonts w:asciiTheme="minorEastAsia" w:hAnsiTheme="minorEastAsia"/>
            <w:noProof/>
            <w:webHidden/>
          </w:rPr>
          <w:fldChar w:fldCharType="separate"/>
        </w:r>
        <w:r w:rsidR="002107A8">
          <w:rPr>
            <w:rFonts w:asciiTheme="minorEastAsia" w:hAnsiTheme="minorEastAsia"/>
            <w:noProof/>
            <w:webHidden/>
          </w:rPr>
          <w:t>23</w:t>
        </w:r>
        <w:r w:rsidR="00CB63CD" w:rsidRPr="00CB63CD">
          <w:rPr>
            <w:rFonts w:asciiTheme="minorEastAsia" w:hAnsiTheme="minorEastAsia"/>
            <w:noProof/>
            <w:webHidden/>
          </w:rPr>
          <w:fldChar w:fldCharType="end"/>
        </w:r>
      </w:hyperlink>
    </w:p>
    <w:p w:rsidR="00F068AD" w:rsidRPr="00CB63CD" w:rsidRDefault="00E7542F" w:rsidP="00CB63CD">
      <w:pPr>
        <w:pStyle w:val="1"/>
        <w:tabs>
          <w:tab w:val="left" w:leader="dot" w:pos="9469"/>
        </w:tabs>
        <w:spacing w:line="480" w:lineRule="auto"/>
        <w:rPr>
          <w:rFonts w:asciiTheme="minorEastAsia" w:hAnsiTheme="minorEastAsia"/>
          <w:noProof/>
        </w:rPr>
      </w:pPr>
      <w:hyperlink w:anchor="_Toc988936" w:history="1">
        <w:r w:rsidR="00CB63CD" w:rsidRPr="00CB63CD">
          <w:rPr>
            <w:rFonts w:asciiTheme="minorEastAsia" w:hAnsiTheme="minorEastAsia" w:hint="eastAsia"/>
            <w:b/>
            <w:bCs/>
            <w:noProof/>
            <w:sz w:val="24"/>
          </w:rPr>
          <w:t>第六节 重要事项</w:t>
        </w:r>
        <w:r w:rsidR="00CB63CD" w:rsidRPr="00CB63CD">
          <w:rPr>
            <w:rFonts w:asciiTheme="minorEastAsia" w:hAnsiTheme="minorEastAsia"/>
            <w:noProof/>
            <w:webHidden/>
          </w:rPr>
          <w:tab/>
        </w:r>
        <w:r w:rsidR="00CB63CD" w:rsidRPr="00CB63CD">
          <w:rPr>
            <w:rFonts w:asciiTheme="minorEastAsia" w:hAnsiTheme="minorEastAsia"/>
            <w:noProof/>
            <w:webHidden/>
          </w:rPr>
          <w:fldChar w:fldCharType="begin"/>
        </w:r>
        <w:r w:rsidR="00CB63CD" w:rsidRPr="00CB63CD">
          <w:rPr>
            <w:rFonts w:asciiTheme="minorEastAsia" w:hAnsiTheme="minorEastAsia"/>
            <w:noProof/>
            <w:webHidden/>
          </w:rPr>
          <w:instrText xml:space="preserve"> PAGEREF _Toc988936 \h </w:instrText>
        </w:r>
        <w:r w:rsidR="00CB63CD" w:rsidRPr="00CB63CD">
          <w:rPr>
            <w:rFonts w:asciiTheme="minorEastAsia" w:hAnsiTheme="minorEastAsia"/>
            <w:noProof/>
            <w:webHidden/>
          </w:rPr>
        </w:r>
        <w:r w:rsidR="00CB63CD" w:rsidRPr="00CB63CD">
          <w:rPr>
            <w:rFonts w:asciiTheme="minorEastAsia" w:hAnsiTheme="minorEastAsia"/>
            <w:noProof/>
            <w:webHidden/>
          </w:rPr>
          <w:fldChar w:fldCharType="separate"/>
        </w:r>
        <w:r w:rsidR="002107A8">
          <w:rPr>
            <w:rFonts w:asciiTheme="minorEastAsia" w:hAnsiTheme="minorEastAsia"/>
            <w:noProof/>
            <w:webHidden/>
          </w:rPr>
          <w:t>26</w:t>
        </w:r>
        <w:r w:rsidR="00CB63CD" w:rsidRPr="00CB63CD">
          <w:rPr>
            <w:rFonts w:asciiTheme="minorEastAsia" w:hAnsiTheme="minorEastAsia"/>
            <w:noProof/>
            <w:webHidden/>
          </w:rPr>
          <w:fldChar w:fldCharType="end"/>
        </w:r>
      </w:hyperlink>
    </w:p>
    <w:p w:rsidR="00F068AD" w:rsidRPr="00CB63CD" w:rsidRDefault="00E7542F" w:rsidP="00CB63CD">
      <w:pPr>
        <w:pStyle w:val="1"/>
        <w:tabs>
          <w:tab w:val="left" w:leader="dot" w:pos="9469"/>
        </w:tabs>
        <w:spacing w:line="480" w:lineRule="auto"/>
        <w:rPr>
          <w:rFonts w:asciiTheme="minorEastAsia" w:hAnsiTheme="minorEastAsia"/>
          <w:noProof/>
        </w:rPr>
      </w:pPr>
      <w:hyperlink w:anchor="_Toc988965" w:history="1">
        <w:r w:rsidR="00CB63CD" w:rsidRPr="00CB63CD">
          <w:rPr>
            <w:rFonts w:asciiTheme="minorEastAsia" w:hAnsiTheme="minorEastAsia" w:hint="eastAsia"/>
            <w:b/>
            <w:bCs/>
            <w:noProof/>
            <w:sz w:val="24"/>
          </w:rPr>
          <w:t>第七节 股份变动及股东情况</w:t>
        </w:r>
        <w:r w:rsidR="00CB63CD" w:rsidRPr="00CB63CD">
          <w:rPr>
            <w:rFonts w:asciiTheme="minorEastAsia" w:hAnsiTheme="minorEastAsia"/>
            <w:noProof/>
            <w:webHidden/>
          </w:rPr>
          <w:tab/>
        </w:r>
        <w:r w:rsidR="00CB63CD" w:rsidRPr="00CB63CD">
          <w:rPr>
            <w:rFonts w:asciiTheme="minorEastAsia" w:hAnsiTheme="minorEastAsia"/>
            <w:noProof/>
            <w:webHidden/>
          </w:rPr>
          <w:fldChar w:fldCharType="begin"/>
        </w:r>
        <w:r w:rsidR="00CB63CD" w:rsidRPr="00CB63CD">
          <w:rPr>
            <w:rFonts w:asciiTheme="minorEastAsia" w:hAnsiTheme="minorEastAsia"/>
            <w:noProof/>
            <w:webHidden/>
          </w:rPr>
          <w:instrText xml:space="preserve"> PAGEREF _Toc988965 \h </w:instrText>
        </w:r>
        <w:r w:rsidR="00CB63CD" w:rsidRPr="00CB63CD">
          <w:rPr>
            <w:rFonts w:asciiTheme="minorEastAsia" w:hAnsiTheme="minorEastAsia"/>
            <w:noProof/>
            <w:webHidden/>
          </w:rPr>
        </w:r>
        <w:r w:rsidR="00CB63CD" w:rsidRPr="00CB63CD">
          <w:rPr>
            <w:rFonts w:asciiTheme="minorEastAsia" w:hAnsiTheme="minorEastAsia"/>
            <w:noProof/>
            <w:webHidden/>
          </w:rPr>
          <w:fldChar w:fldCharType="separate"/>
        </w:r>
        <w:r w:rsidR="002107A8">
          <w:rPr>
            <w:rFonts w:asciiTheme="minorEastAsia" w:hAnsiTheme="minorEastAsia"/>
            <w:noProof/>
            <w:webHidden/>
          </w:rPr>
          <w:t>32</w:t>
        </w:r>
        <w:r w:rsidR="00CB63CD" w:rsidRPr="00CB63CD">
          <w:rPr>
            <w:rFonts w:asciiTheme="minorEastAsia" w:hAnsiTheme="minorEastAsia"/>
            <w:noProof/>
            <w:webHidden/>
          </w:rPr>
          <w:fldChar w:fldCharType="end"/>
        </w:r>
      </w:hyperlink>
    </w:p>
    <w:p w:rsidR="00F068AD" w:rsidRPr="00CB63CD" w:rsidRDefault="00E7542F" w:rsidP="00CB63CD">
      <w:pPr>
        <w:pStyle w:val="1"/>
        <w:tabs>
          <w:tab w:val="left" w:leader="dot" w:pos="9469"/>
        </w:tabs>
        <w:spacing w:line="480" w:lineRule="auto"/>
        <w:rPr>
          <w:rFonts w:asciiTheme="minorEastAsia" w:hAnsiTheme="minorEastAsia"/>
          <w:noProof/>
        </w:rPr>
      </w:pPr>
      <w:hyperlink w:anchor="_Toc988973" w:history="1">
        <w:r w:rsidR="00CB63CD" w:rsidRPr="00CB63CD">
          <w:rPr>
            <w:rFonts w:asciiTheme="minorEastAsia" w:hAnsiTheme="minorEastAsia" w:hint="eastAsia"/>
            <w:b/>
            <w:bCs/>
            <w:noProof/>
            <w:sz w:val="24"/>
          </w:rPr>
          <w:t>第八节 优先股相关情况</w:t>
        </w:r>
        <w:r w:rsidR="00CB63CD" w:rsidRPr="00CB63CD">
          <w:rPr>
            <w:rFonts w:asciiTheme="minorEastAsia" w:hAnsiTheme="minorEastAsia"/>
            <w:noProof/>
            <w:webHidden/>
          </w:rPr>
          <w:tab/>
        </w:r>
        <w:r w:rsidR="00CB63CD" w:rsidRPr="00CB63CD">
          <w:rPr>
            <w:rFonts w:asciiTheme="minorEastAsia" w:hAnsiTheme="minorEastAsia"/>
            <w:noProof/>
            <w:webHidden/>
          </w:rPr>
          <w:fldChar w:fldCharType="begin"/>
        </w:r>
        <w:r w:rsidR="00CB63CD" w:rsidRPr="00CB63CD">
          <w:rPr>
            <w:rFonts w:asciiTheme="minorEastAsia" w:hAnsiTheme="minorEastAsia"/>
            <w:noProof/>
            <w:webHidden/>
          </w:rPr>
          <w:instrText xml:space="preserve"> PAGEREF _Toc988973 \h </w:instrText>
        </w:r>
        <w:r w:rsidR="00CB63CD" w:rsidRPr="00CB63CD">
          <w:rPr>
            <w:rFonts w:asciiTheme="minorEastAsia" w:hAnsiTheme="minorEastAsia"/>
            <w:noProof/>
            <w:webHidden/>
          </w:rPr>
        </w:r>
        <w:r w:rsidR="00CB63CD" w:rsidRPr="00CB63CD">
          <w:rPr>
            <w:rFonts w:asciiTheme="minorEastAsia" w:hAnsiTheme="minorEastAsia"/>
            <w:noProof/>
            <w:webHidden/>
          </w:rPr>
          <w:fldChar w:fldCharType="separate"/>
        </w:r>
        <w:r w:rsidR="002107A8">
          <w:rPr>
            <w:rFonts w:asciiTheme="minorEastAsia" w:hAnsiTheme="minorEastAsia"/>
            <w:noProof/>
            <w:webHidden/>
          </w:rPr>
          <w:t>36</w:t>
        </w:r>
        <w:r w:rsidR="00CB63CD" w:rsidRPr="00CB63CD">
          <w:rPr>
            <w:rFonts w:asciiTheme="minorEastAsia" w:hAnsiTheme="minorEastAsia"/>
            <w:noProof/>
            <w:webHidden/>
          </w:rPr>
          <w:fldChar w:fldCharType="end"/>
        </w:r>
      </w:hyperlink>
    </w:p>
    <w:p w:rsidR="00F068AD" w:rsidRPr="00CB63CD" w:rsidRDefault="00E7542F" w:rsidP="00CB63CD">
      <w:pPr>
        <w:pStyle w:val="1"/>
        <w:tabs>
          <w:tab w:val="left" w:leader="dot" w:pos="9469"/>
        </w:tabs>
        <w:spacing w:line="480" w:lineRule="auto"/>
        <w:rPr>
          <w:rFonts w:asciiTheme="minorEastAsia" w:hAnsiTheme="minorEastAsia"/>
          <w:noProof/>
        </w:rPr>
      </w:pPr>
      <w:hyperlink w:anchor="_Toc988974" w:history="1">
        <w:r w:rsidR="00CB63CD" w:rsidRPr="00CB63CD">
          <w:rPr>
            <w:rFonts w:asciiTheme="minorEastAsia" w:hAnsiTheme="minorEastAsia" w:hint="eastAsia"/>
            <w:b/>
            <w:bCs/>
            <w:noProof/>
            <w:sz w:val="24"/>
          </w:rPr>
          <w:t>第九节 债券相关情况</w:t>
        </w:r>
        <w:r w:rsidR="00CB63CD" w:rsidRPr="00CB63CD">
          <w:rPr>
            <w:rFonts w:asciiTheme="minorEastAsia" w:hAnsiTheme="minorEastAsia"/>
            <w:noProof/>
            <w:webHidden/>
          </w:rPr>
          <w:tab/>
        </w:r>
        <w:r w:rsidR="00CB63CD" w:rsidRPr="00CB63CD">
          <w:rPr>
            <w:rFonts w:asciiTheme="minorEastAsia" w:hAnsiTheme="minorEastAsia"/>
            <w:noProof/>
            <w:webHidden/>
          </w:rPr>
          <w:fldChar w:fldCharType="begin"/>
        </w:r>
        <w:r w:rsidR="00CB63CD" w:rsidRPr="00CB63CD">
          <w:rPr>
            <w:rFonts w:asciiTheme="minorEastAsia" w:hAnsiTheme="minorEastAsia"/>
            <w:noProof/>
            <w:webHidden/>
          </w:rPr>
          <w:instrText xml:space="preserve"> PAGEREF _Toc988974 \h </w:instrText>
        </w:r>
        <w:r w:rsidR="00CB63CD" w:rsidRPr="00CB63CD">
          <w:rPr>
            <w:rFonts w:asciiTheme="minorEastAsia" w:hAnsiTheme="minorEastAsia"/>
            <w:noProof/>
            <w:webHidden/>
          </w:rPr>
        </w:r>
        <w:r w:rsidR="00CB63CD" w:rsidRPr="00CB63CD">
          <w:rPr>
            <w:rFonts w:asciiTheme="minorEastAsia" w:hAnsiTheme="minorEastAsia"/>
            <w:noProof/>
            <w:webHidden/>
          </w:rPr>
          <w:fldChar w:fldCharType="separate"/>
        </w:r>
        <w:r w:rsidR="002107A8">
          <w:rPr>
            <w:rFonts w:asciiTheme="minorEastAsia" w:hAnsiTheme="minorEastAsia"/>
            <w:noProof/>
            <w:webHidden/>
          </w:rPr>
          <w:t>37</w:t>
        </w:r>
        <w:r w:rsidR="00CB63CD" w:rsidRPr="00CB63CD">
          <w:rPr>
            <w:rFonts w:asciiTheme="minorEastAsia" w:hAnsiTheme="minorEastAsia"/>
            <w:noProof/>
            <w:webHidden/>
          </w:rPr>
          <w:fldChar w:fldCharType="end"/>
        </w:r>
      </w:hyperlink>
    </w:p>
    <w:p w:rsidR="00F068AD" w:rsidRPr="00CB63CD" w:rsidRDefault="00E7542F" w:rsidP="00CB63CD">
      <w:pPr>
        <w:pStyle w:val="1"/>
        <w:tabs>
          <w:tab w:val="left" w:leader="dot" w:pos="9469"/>
        </w:tabs>
        <w:spacing w:line="480" w:lineRule="auto"/>
        <w:rPr>
          <w:rFonts w:asciiTheme="minorEastAsia" w:hAnsiTheme="minorEastAsia"/>
          <w:noProof/>
        </w:rPr>
      </w:pPr>
      <w:hyperlink w:anchor="_Toc988975" w:history="1">
        <w:r w:rsidR="00CB63CD" w:rsidRPr="00CB63CD">
          <w:rPr>
            <w:rFonts w:asciiTheme="minorEastAsia" w:hAnsiTheme="minorEastAsia" w:hint="eastAsia"/>
            <w:b/>
            <w:bCs/>
            <w:noProof/>
            <w:sz w:val="24"/>
          </w:rPr>
          <w:t>第十节 财务报告</w:t>
        </w:r>
        <w:r w:rsidR="00CB63CD" w:rsidRPr="00CB63CD">
          <w:rPr>
            <w:rFonts w:asciiTheme="minorEastAsia" w:hAnsiTheme="minorEastAsia"/>
            <w:noProof/>
            <w:webHidden/>
          </w:rPr>
          <w:tab/>
        </w:r>
        <w:r w:rsidR="00CB63CD" w:rsidRPr="00CB63CD">
          <w:rPr>
            <w:rFonts w:asciiTheme="minorEastAsia" w:hAnsiTheme="minorEastAsia"/>
            <w:noProof/>
            <w:webHidden/>
          </w:rPr>
          <w:fldChar w:fldCharType="begin"/>
        </w:r>
        <w:r w:rsidR="00CB63CD" w:rsidRPr="00CB63CD">
          <w:rPr>
            <w:rFonts w:asciiTheme="minorEastAsia" w:hAnsiTheme="minorEastAsia"/>
            <w:noProof/>
            <w:webHidden/>
          </w:rPr>
          <w:instrText xml:space="preserve"> PAGEREF _Toc988975 \h </w:instrText>
        </w:r>
        <w:r w:rsidR="00CB63CD" w:rsidRPr="00CB63CD">
          <w:rPr>
            <w:rFonts w:asciiTheme="minorEastAsia" w:hAnsiTheme="minorEastAsia"/>
            <w:noProof/>
            <w:webHidden/>
          </w:rPr>
        </w:r>
        <w:r w:rsidR="00CB63CD" w:rsidRPr="00CB63CD">
          <w:rPr>
            <w:rFonts w:asciiTheme="minorEastAsia" w:hAnsiTheme="minorEastAsia"/>
            <w:noProof/>
            <w:webHidden/>
          </w:rPr>
          <w:fldChar w:fldCharType="separate"/>
        </w:r>
        <w:r w:rsidR="002107A8">
          <w:rPr>
            <w:rFonts w:asciiTheme="minorEastAsia" w:hAnsiTheme="minorEastAsia"/>
            <w:noProof/>
            <w:webHidden/>
          </w:rPr>
          <w:t>38</w:t>
        </w:r>
        <w:r w:rsidR="00CB63CD" w:rsidRPr="00CB63CD">
          <w:rPr>
            <w:rFonts w:asciiTheme="minorEastAsia" w:hAnsiTheme="minorEastAsia"/>
            <w:noProof/>
            <w:webHidden/>
          </w:rPr>
          <w:fldChar w:fldCharType="end"/>
        </w:r>
      </w:hyperlink>
      <w:r w:rsidR="00CB63CD" w:rsidRPr="00CB63CD">
        <w:rPr>
          <w:rFonts w:asciiTheme="minorEastAsia" w:hAnsiTheme="minorEastAsia"/>
        </w:rPr>
        <w:fldChar w:fldCharType="end"/>
      </w:r>
    </w:p>
    <w:p w:rsidR="00F068AD" w:rsidRDefault="00CB63CD" w:rsidP="00CB63CD">
      <w:pPr>
        <w:spacing w:line="480" w:lineRule="auto"/>
      </w:pPr>
      <w:r>
        <w:br w:type="page"/>
      </w:r>
    </w:p>
    <w:p w:rsidR="00F068AD" w:rsidRDefault="00CB63CD">
      <w:pPr>
        <w:spacing w:line="640" w:lineRule="exact"/>
        <w:jc w:val="center"/>
        <w:rPr>
          <w:rFonts w:ascii="宋体" w:eastAsia="宋体" w:hAnsi="宋体" w:cs="宋体"/>
          <w:b/>
          <w:bCs/>
          <w:sz w:val="32"/>
          <w:szCs w:val="32"/>
        </w:rPr>
      </w:pPr>
      <w:r>
        <w:rPr>
          <w:rFonts w:ascii="宋体" w:eastAsia="宋体" w:hAnsi="宋体" w:cs="宋体"/>
          <w:b/>
          <w:bCs/>
          <w:sz w:val="32"/>
          <w:szCs w:val="32"/>
        </w:rPr>
        <w:lastRenderedPageBreak/>
        <w:t>备查文件目录</w:t>
      </w:r>
    </w:p>
    <w:p w:rsidR="00CB63CD" w:rsidRDefault="00CB63CD">
      <w:pPr>
        <w:pStyle w:val="a3"/>
        <w:spacing w:line="560" w:lineRule="atLeast"/>
        <w:divId w:val="227616407"/>
        <w:rPr>
          <w:sz w:val="18"/>
          <w:szCs w:val="18"/>
        </w:rPr>
      </w:pPr>
      <w:r>
        <w:rPr>
          <w:rFonts w:hint="eastAsia"/>
          <w:sz w:val="18"/>
          <w:szCs w:val="18"/>
        </w:rPr>
        <w:t>（一）载有公司法定代表人签名并盖章的半年度报告文本；</w:t>
      </w:r>
    </w:p>
    <w:p w:rsidR="00CB63CD" w:rsidRDefault="00CB63CD">
      <w:pPr>
        <w:pStyle w:val="a3"/>
        <w:spacing w:line="560" w:lineRule="atLeast"/>
        <w:divId w:val="227616407"/>
        <w:rPr>
          <w:sz w:val="18"/>
          <w:szCs w:val="18"/>
        </w:rPr>
      </w:pPr>
      <w:r>
        <w:rPr>
          <w:rFonts w:hint="eastAsia"/>
          <w:sz w:val="18"/>
          <w:szCs w:val="18"/>
        </w:rPr>
        <w:t>（二）载有公司负责人、主管会计工作负责人、会计主管人员签名并盖章的财务报表；</w:t>
      </w:r>
    </w:p>
    <w:p w:rsidR="00CB63CD" w:rsidRDefault="00CB63CD">
      <w:pPr>
        <w:pStyle w:val="a3"/>
        <w:spacing w:line="560" w:lineRule="atLeast"/>
        <w:divId w:val="227616407"/>
        <w:rPr>
          <w:sz w:val="18"/>
          <w:szCs w:val="18"/>
        </w:rPr>
      </w:pPr>
      <w:r>
        <w:rPr>
          <w:rFonts w:hint="eastAsia"/>
          <w:sz w:val="18"/>
          <w:szCs w:val="18"/>
        </w:rPr>
        <w:t>（三）报告期内在中国证监会指定网站上公开披露过的所有公司文件的正本及公告的原稿。</w:t>
      </w:r>
    </w:p>
    <w:p w:rsidR="00F068AD" w:rsidRDefault="00CB63CD">
      <w:r>
        <w:br w:type="page"/>
      </w:r>
    </w:p>
    <w:p w:rsidR="00F068AD" w:rsidRDefault="00CB63CD">
      <w:pPr>
        <w:spacing w:before="40" w:after="40" w:line="640" w:lineRule="exact"/>
        <w:jc w:val="center"/>
        <w:rPr>
          <w:rFonts w:ascii="宋体" w:eastAsia="宋体" w:hAnsi="宋体" w:cs="宋体"/>
          <w:b/>
          <w:bCs/>
          <w:sz w:val="32"/>
          <w:szCs w:val="32"/>
        </w:rPr>
      </w:pPr>
      <w:r>
        <w:rPr>
          <w:rFonts w:ascii="宋体" w:eastAsia="宋体" w:hAnsi="宋体" w:cs="宋体"/>
          <w:b/>
          <w:bCs/>
          <w:sz w:val="32"/>
          <w:szCs w:val="32"/>
        </w:rPr>
        <w:lastRenderedPageBreak/>
        <w:t>释</w:t>
      </w:r>
      <w:r>
        <w:rPr>
          <w:rFonts w:ascii="宋体" w:eastAsia="宋体" w:hAnsi="宋体" w:cs="宋体" w:hint="eastAsia"/>
          <w:b/>
          <w:bCs/>
          <w:sz w:val="32"/>
          <w:szCs w:val="32"/>
        </w:rPr>
        <w:t xml:space="preserve">  </w:t>
      </w:r>
      <w:r>
        <w:rPr>
          <w:rFonts w:ascii="宋体" w:eastAsia="宋体" w:hAnsi="宋体" w:cs="宋体"/>
          <w:b/>
          <w:bCs/>
          <w:sz w:val="32"/>
          <w:szCs w:val="32"/>
        </w:rPr>
        <w:t>义</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1431"/>
        <w:gridCol w:w="4995"/>
      </w:tblGrid>
      <w:tr w:rsidR="00F068AD" w:rsidTr="00CB63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rsidP="00CB63CD">
            <w:pPr>
              <w:spacing w:before="40" w:after="40" w:line="360" w:lineRule="auto"/>
              <w:jc w:val="center"/>
              <w:rPr>
                <w:rFonts w:ascii="宋体" w:eastAsia="宋体" w:hAnsi="宋体" w:cs="宋体"/>
                <w:sz w:val="18"/>
                <w:szCs w:val="18"/>
              </w:rPr>
            </w:pPr>
            <w:r>
              <w:rPr>
                <w:rFonts w:ascii="宋体" w:eastAsia="宋体" w:hAnsi="宋体" w:cs="宋体"/>
                <w:sz w:val="18"/>
                <w:szCs w:val="18"/>
              </w:rPr>
              <w:t>释义项</w:t>
            </w:r>
          </w:p>
        </w:tc>
        <w:tc>
          <w:tcPr>
            <w:tcW w:w="143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rsidP="00CB63CD">
            <w:pPr>
              <w:spacing w:before="40" w:after="40" w:line="360" w:lineRule="auto"/>
              <w:jc w:val="center"/>
              <w:rPr>
                <w:rFonts w:ascii="宋体" w:eastAsia="宋体" w:hAnsi="宋体" w:cs="宋体"/>
                <w:sz w:val="18"/>
                <w:szCs w:val="18"/>
              </w:rPr>
            </w:pPr>
            <w:r>
              <w:rPr>
                <w:rFonts w:ascii="宋体" w:eastAsia="宋体" w:hAnsi="宋体" w:cs="宋体"/>
                <w:sz w:val="18"/>
                <w:szCs w:val="18"/>
              </w:rPr>
              <w:t>指</w:t>
            </w:r>
          </w:p>
        </w:tc>
        <w:tc>
          <w:tcPr>
            <w:tcW w:w="4995"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rsidP="00CB63CD">
            <w:pPr>
              <w:spacing w:before="40" w:after="40" w:line="360" w:lineRule="auto"/>
              <w:jc w:val="center"/>
              <w:rPr>
                <w:rFonts w:ascii="宋体" w:eastAsia="宋体" w:hAnsi="宋体" w:cs="宋体"/>
                <w:sz w:val="18"/>
                <w:szCs w:val="18"/>
              </w:rPr>
            </w:pPr>
            <w:r>
              <w:rPr>
                <w:rFonts w:ascii="宋体" w:eastAsia="宋体" w:hAnsi="宋体" w:cs="宋体"/>
                <w:sz w:val="18"/>
                <w:szCs w:val="18"/>
              </w:rPr>
              <w:t>释义内容</w:t>
            </w:r>
          </w:p>
        </w:tc>
      </w:tr>
      <w:tr w:rsidR="00F068AD" w:rsidTr="00CB63C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rsidP="00CB63CD">
            <w:pPr>
              <w:spacing w:line="360" w:lineRule="auto"/>
              <w:rPr>
                <w:rFonts w:ascii="宋体" w:eastAsia="宋体" w:hAnsi="宋体" w:cs="宋体"/>
                <w:sz w:val="18"/>
                <w:szCs w:val="18"/>
              </w:rPr>
            </w:pPr>
            <w:r>
              <w:rPr>
                <w:rFonts w:ascii="宋体" w:eastAsia="宋体" w:hAnsi="宋体" w:cs="宋体"/>
                <w:sz w:val="18"/>
                <w:szCs w:val="18"/>
              </w:rPr>
              <w:t>中国证监会、证监会</w:t>
            </w:r>
          </w:p>
        </w:tc>
        <w:tc>
          <w:tcPr>
            <w:tcW w:w="143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rsidP="00CB63CD">
            <w:pPr>
              <w:spacing w:before="40" w:after="40" w:line="360" w:lineRule="auto"/>
              <w:jc w:val="center"/>
              <w:rPr>
                <w:rFonts w:ascii="宋体" w:eastAsia="宋体" w:hAnsi="宋体" w:cs="宋体"/>
                <w:sz w:val="18"/>
                <w:szCs w:val="18"/>
              </w:rPr>
            </w:pPr>
            <w:r>
              <w:rPr>
                <w:rFonts w:ascii="宋体" w:eastAsia="宋体" w:hAnsi="宋体" w:cs="宋体"/>
                <w:sz w:val="18"/>
                <w:szCs w:val="18"/>
              </w:rPr>
              <w:t>指</w:t>
            </w:r>
          </w:p>
        </w:tc>
        <w:tc>
          <w:tcPr>
            <w:tcW w:w="4995" w:type="dxa"/>
            <w:tcBorders>
              <w:top w:val="single" w:sz="2" w:space="0" w:color="auto"/>
              <w:left w:val="single" w:sz="2" w:space="0" w:color="auto"/>
              <w:bottom w:val="single" w:sz="2" w:space="0" w:color="auto"/>
              <w:right w:val="single" w:sz="2" w:space="0" w:color="auto"/>
            </w:tcBorders>
            <w:vAlign w:val="center"/>
          </w:tcPr>
          <w:p w:rsidR="00F068AD" w:rsidRDefault="00CB63CD" w:rsidP="00CB63CD">
            <w:pPr>
              <w:spacing w:line="360" w:lineRule="auto"/>
              <w:rPr>
                <w:rFonts w:ascii="宋体" w:eastAsia="宋体" w:hAnsi="宋体" w:cs="宋体"/>
                <w:sz w:val="18"/>
                <w:szCs w:val="18"/>
              </w:rPr>
            </w:pPr>
            <w:r>
              <w:rPr>
                <w:rFonts w:ascii="宋体" w:eastAsia="宋体" w:hAnsi="宋体" w:cs="宋体"/>
                <w:sz w:val="18"/>
                <w:szCs w:val="18"/>
              </w:rPr>
              <w:t>中国证券监督管理委员会</w:t>
            </w:r>
          </w:p>
        </w:tc>
      </w:tr>
      <w:tr w:rsidR="00F068AD" w:rsidTr="00CB63C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rsidP="00CB63CD">
            <w:pPr>
              <w:spacing w:line="360" w:lineRule="auto"/>
              <w:rPr>
                <w:rFonts w:ascii="宋体" w:eastAsia="宋体" w:hAnsi="宋体" w:cs="宋体"/>
                <w:sz w:val="18"/>
                <w:szCs w:val="18"/>
              </w:rPr>
            </w:pPr>
            <w:r>
              <w:rPr>
                <w:rFonts w:ascii="宋体" w:eastAsia="宋体" w:hAnsi="宋体" w:cs="宋体"/>
                <w:sz w:val="18"/>
                <w:szCs w:val="18"/>
              </w:rPr>
              <w:t>深交所</w:t>
            </w:r>
          </w:p>
        </w:tc>
        <w:tc>
          <w:tcPr>
            <w:tcW w:w="143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rsidP="00CB63CD">
            <w:pPr>
              <w:spacing w:before="40" w:after="40" w:line="360" w:lineRule="auto"/>
              <w:jc w:val="center"/>
              <w:rPr>
                <w:rFonts w:ascii="宋体" w:eastAsia="宋体" w:hAnsi="宋体" w:cs="宋体"/>
                <w:sz w:val="18"/>
                <w:szCs w:val="18"/>
              </w:rPr>
            </w:pPr>
            <w:r>
              <w:rPr>
                <w:rFonts w:ascii="宋体" w:eastAsia="宋体" w:hAnsi="宋体" w:cs="宋体"/>
                <w:sz w:val="18"/>
                <w:szCs w:val="18"/>
              </w:rPr>
              <w:t>指</w:t>
            </w:r>
          </w:p>
        </w:tc>
        <w:tc>
          <w:tcPr>
            <w:tcW w:w="4995" w:type="dxa"/>
            <w:tcBorders>
              <w:top w:val="single" w:sz="2" w:space="0" w:color="auto"/>
              <w:left w:val="single" w:sz="2" w:space="0" w:color="auto"/>
              <w:bottom w:val="single" w:sz="2" w:space="0" w:color="auto"/>
              <w:right w:val="single" w:sz="2" w:space="0" w:color="auto"/>
            </w:tcBorders>
            <w:vAlign w:val="center"/>
          </w:tcPr>
          <w:p w:rsidR="00F068AD" w:rsidRDefault="00CB63CD" w:rsidP="00CB63CD">
            <w:pPr>
              <w:spacing w:line="360" w:lineRule="auto"/>
              <w:rPr>
                <w:rFonts w:ascii="宋体" w:eastAsia="宋体" w:hAnsi="宋体" w:cs="宋体"/>
                <w:sz w:val="18"/>
                <w:szCs w:val="18"/>
              </w:rPr>
            </w:pPr>
            <w:r>
              <w:rPr>
                <w:rFonts w:ascii="宋体" w:eastAsia="宋体" w:hAnsi="宋体" w:cs="宋体"/>
                <w:sz w:val="18"/>
                <w:szCs w:val="18"/>
              </w:rPr>
              <w:t>深圳证券交易所</w:t>
            </w:r>
          </w:p>
        </w:tc>
      </w:tr>
      <w:tr w:rsidR="00F068AD" w:rsidTr="00CB63C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rsidP="00CB63CD">
            <w:pPr>
              <w:spacing w:line="360" w:lineRule="auto"/>
              <w:rPr>
                <w:rFonts w:ascii="宋体" w:eastAsia="宋体" w:hAnsi="宋体" w:cs="宋体"/>
                <w:sz w:val="18"/>
                <w:szCs w:val="18"/>
              </w:rPr>
            </w:pPr>
            <w:r>
              <w:rPr>
                <w:rFonts w:ascii="宋体" w:eastAsia="宋体" w:hAnsi="宋体" w:cs="宋体"/>
                <w:sz w:val="18"/>
                <w:szCs w:val="18"/>
              </w:rPr>
              <w:t>公司、本公司、华西股份</w:t>
            </w:r>
          </w:p>
        </w:tc>
        <w:tc>
          <w:tcPr>
            <w:tcW w:w="143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rsidP="00CB63CD">
            <w:pPr>
              <w:spacing w:before="40" w:after="40" w:line="360" w:lineRule="auto"/>
              <w:jc w:val="center"/>
              <w:rPr>
                <w:rFonts w:ascii="宋体" w:eastAsia="宋体" w:hAnsi="宋体" w:cs="宋体"/>
                <w:sz w:val="18"/>
                <w:szCs w:val="18"/>
              </w:rPr>
            </w:pPr>
            <w:r>
              <w:rPr>
                <w:rFonts w:ascii="宋体" w:eastAsia="宋体" w:hAnsi="宋体" w:cs="宋体"/>
                <w:sz w:val="18"/>
                <w:szCs w:val="18"/>
              </w:rPr>
              <w:t>指</w:t>
            </w:r>
          </w:p>
        </w:tc>
        <w:tc>
          <w:tcPr>
            <w:tcW w:w="4995" w:type="dxa"/>
            <w:tcBorders>
              <w:top w:val="single" w:sz="2" w:space="0" w:color="auto"/>
              <w:left w:val="single" w:sz="2" w:space="0" w:color="auto"/>
              <w:bottom w:val="single" w:sz="2" w:space="0" w:color="auto"/>
              <w:right w:val="single" w:sz="2" w:space="0" w:color="auto"/>
            </w:tcBorders>
            <w:vAlign w:val="center"/>
          </w:tcPr>
          <w:p w:rsidR="00F068AD" w:rsidRDefault="00CB63CD" w:rsidP="00CB63CD">
            <w:pPr>
              <w:spacing w:line="360" w:lineRule="auto"/>
              <w:rPr>
                <w:rFonts w:ascii="宋体" w:eastAsia="宋体" w:hAnsi="宋体" w:cs="宋体"/>
                <w:sz w:val="18"/>
                <w:szCs w:val="18"/>
              </w:rPr>
            </w:pPr>
            <w:r>
              <w:rPr>
                <w:rFonts w:ascii="宋体" w:eastAsia="宋体" w:hAnsi="宋体" w:cs="宋体"/>
                <w:sz w:val="18"/>
                <w:szCs w:val="18"/>
              </w:rPr>
              <w:t>江苏华西村股份有限公司</w:t>
            </w:r>
          </w:p>
        </w:tc>
      </w:tr>
      <w:tr w:rsidR="00F068AD" w:rsidTr="00CB63C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rsidP="00CB63CD">
            <w:pPr>
              <w:spacing w:line="360" w:lineRule="auto"/>
              <w:rPr>
                <w:rFonts w:ascii="宋体" w:eastAsia="宋体" w:hAnsi="宋体" w:cs="宋体"/>
                <w:sz w:val="18"/>
                <w:szCs w:val="18"/>
              </w:rPr>
            </w:pPr>
            <w:r>
              <w:rPr>
                <w:rFonts w:ascii="宋体" w:eastAsia="宋体" w:hAnsi="宋体" w:cs="宋体"/>
                <w:sz w:val="18"/>
                <w:szCs w:val="18"/>
              </w:rPr>
              <w:t>控股股东、华西集团</w:t>
            </w:r>
          </w:p>
        </w:tc>
        <w:tc>
          <w:tcPr>
            <w:tcW w:w="143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rsidP="00CB63CD">
            <w:pPr>
              <w:spacing w:before="40" w:after="40" w:line="360" w:lineRule="auto"/>
              <w:jc w:val="center"/>
              <w:rPr>
                <w:rFonts w:ascii="宋体" w:eastAsia="宋体" w:hAnsi="宋体" w:cs="宋体"/>
                <w:sz w:val="18"/>
                <w:szCs w:val="18"/>
              </w:rPr>
            </w:pPr>
            <w:r>
              <w:rPr>
                <w:rFonts w:ascii="宋体" w:eastAsia="宋体" w:hAnsi="宋体" w:cs="宋体"/>
                <w:sz w:val="18"/>
                <w:szCs w:val="18"/>
              </w:rPr>
              <w:t>指</w:t>
            </w:r>
          </w:p>
        </w:tc>
        <w:tc>
          <w:tcPr>
            <w:tcW w:w="4995" w:type="dxa"/>
            <w:tcBorders>
              <w:top w:val="single" w:sz="2" w:space="0" w:color="auto"/>
              <w:left w:val="single" w:sz="2" w:space="0" w:color="auto"/>
              <w:bottom w:val="single" w:sz="2" w:space="0" w:color="auto"/>
              <w:right w:val="single" w:sz="2" w:space="0" w:color="auto"/>
            </w:tcBorders>
            <w:vAlign w:val="center"/>
          </w:tcPr>
          <w:p w:rsidR="00F068AD" w:rsidRDefault="00CB63CD" w:rsidP="00CB63CD">
            <w:pPr>
              <w:spacing w:line="360" w:lineRule="auto"/>
              <w:rPr>
                <w:rFonts w:ascii="宋体" w:eastAsia="宋体" w:hAnsi="宋体" w:cs="宋体"/>
                <w:sz w:val="18"/>
                <w:szCs w:val="18"/>
              </w:rPr>
            </w:pPr>
            <w:r>
              <w:rPr>
                <w:rFonts w:ascii="宋体" w:eastAsia="宋体" w:hAnsi="宋体" w:cs="宋体"/>
                <w:sz w:val="18"/>
                <w:szCs w:val="18"/>
              </w:rPr>
              <w:t>江苏华西集团有限公司</w:t>
            </w:r>
          </w:p>
        </w:tc>
      </w:tr>
      <w:tr w:rsidR="00F068AD" w:rsidTr="00CB63C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rsidP="00CB63CD">
            <w:pPr>
              <w:spacing w:line="360" w:lineRule="auto"/>
              <w:rPr>
                <w:rFonts w:ascii="宋体" w:eastAsia="宋体" w:hAnsi="宋体" w:cs="宋体"/>
                <w:sz w:val="18"/>
                <w:szCs w:val="18"/>
              </w:rPr>
            </w:pPr>
            <w:r>
              <w:rPr>
                <w:rFonts w:ascii="宋体" w:eastAsia="宋体" w:hAnsi="宋体" w:cs="宋体"/>
                <w:sz w:val="18"/>
                <w:szCs w:val="18"/>
              </w:rPr>
              <w:t>化纤厂</w:t>
            </w:r>
          </w:p>
        </w:tc>
        <w:tc>
          <w:tcPr>
            <w:tcW w:w="143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rsidP="00CB63CD">
            <w:pPr>
              <w:spacing w:before="40" w:after="40" w:line="360" w:lineRule="auto"/>
              <w:jc w:val="center"/>
              <w:rPr>
                <w:rFonts w:ascii="宋体" w:eastAsia="宋体" w:hAnsi="宋体" w:cs="宋体"/>
                <w:sz w:val="18"/>
                <w:szCs w:val="18"/>
              </w:rPr>
            </w:pPr>
            <w:r>
              <w:rPr>
                <w:rFonts w:ascii="宋体" w:eastAsia="宋体" w:hAnsi="宋体" w:cs="宋体"/>
                <w:sz w:val="18"/>
                <w:szCs w:val="18"/>
              </w:rPr>
              <w:t>指</w:t>
            </w:r>
          </w:p>
        </w:tc>
        <w:tc>
          <w:tcPr>
            <w:tcW w:w="4995" w:type="dxa"/>
            <w:tcBorders>
              <w:top w:val="single" w:sz="2" w:space="0" w:color="auto"/>
              <w:left w:val="single" w:sz="2" w:space="0" w:color="auto"/>
              <w:bottom w:val="single" w:sz="2" w:space="0" w:color="auto"/>
              <w:right w:val="single" w:sz="2" w:space="0" w:color="auto"/>
            </w:tcBorders>
            <w:vAlign w:val="center"/>
          </w:tcPr>
          <w:p w:rsidR="00F068AD" w:rsidRDefault="00CB63CD" w:rsidP="00CB63CD">
            <w:pPr>
              <w:spacing w:line="360" w:lineRule="auto"/>
              <w:rPr>
                <w:rFonts w:ascii="宋体" w:eastAsia="宋体" w:hAnsi="宋体" w:cs="宋体"/>
                <w:sz w:val="18"/>
                <w:szCs w:val="18"/>
              </w:rPr>
            </w:pPr>
            <w:r>
              <w:rPr>
                <w:rFonts w:ascii="宋体" w:eastAsia="宋体" w:hAnsi="宋体" w:cs="宋体"/>
                <w:sz w:val="18"/>
                <w:szCs w:val="18"/>
              </w:rPr>
              <w:t>江苏华西村股份有限公司特种化纤厂，为本公司下属分厂</w:t>
            </w:r>
          </w:p>
        </w:tc>
      </w:tr>
      <w:tr w:rsidR="00F068AD" w:rsidTr="00CB63C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rsidP="00CB63CD">
            <w:pPr>
              <w:spacing w:line="360" w:lineRule="auto"/>
              <w:rPr>
                <w:rFonts w:ascii="宋体" w:eastAsia="宋体" w:hAnsi="宋体" w:cs="宋体"/>
                <w:sz w:val="18"/>
                <w:szCs w:val="18"/>
              </w:rPr>
            </w:pPr>
            <w:r>
              <w:rPr>
                <w:rFonts w:ascii="宋体" w:eastAsia="宋体" w:hAnsi="宋体" w:cs="宋体"/>
                <w:sz w:val="18"/>
                <w:szCs w:val="18"/>
              </w:rPr>
              <w:t>华西资本</w:t>
            </w:r>
          </w:p>
        </w:tc>
        <w:tc>
          <w:tcPr>
            <w:tcW w:w="143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rsidP="00CB63CD">
            <w:pPr>
              <w:spacing w:before="40" w:after="40" w:line="360" w:lineRule="auto"/>
              <w:jc w:val="center"/>
              <w:rPr>
                <w:rFonts w:ascii="宋体" w:eastAsia="宋体" w:hAnsi="宋体" w:cs="宋体"/>
                <w:sz w:val="18"/>
                <w:szCs w:val="18"/>
              </w:rPr>
            </w:pPr>
            <w:r>
              <w:rPr>
                <w:rFonts w:ascii="宋体" w:eastAsia="宋体" w:hAnsi="宋体" w:cs="宋体"/>
                <w:sz w:val="18"/>
                <w:szCs w:val="18"/>
              </w:rPr>
              <w:t>指</w:t>
            </w:r>
          </w:p>
        </w:tc>
        <w:tc>
          <w:tcPr>
            <w:tcW w:w="4995" w:type="dxa"/>
            <w:tcBorders>
              <w:top w:val="single" w:sz="2" w:space="0" w:color="auto"/>
              <w:left w:val="single" w:sz="2" w:space="0" w:color="auto"/>
              <w:bottom w:val="single" w:sz="2" w:space="0" w:color="auto"/>
              <w:right w:val="single" w:sz="2" w:space="0" w:color="auto"/>
            </w:tcBorders>
            <w:vAlign w:val="center"/>
          </w:tcPr>
          <w:p w:rsidR="00F068AD" w:rsidRDefault="00CB63CD" w:rsidP="00CB63CD">
            <w:pPr>
              <w:spacing w:line="360" w:lineRule="auto"/>
              <w:rPr>
                <w:rFonts w:ascii="宋体" w:eastAsia="宋体" w:hAnsi="宋体" w:cs="宋体"/>
                <w:sz w:val="18"/>
                <w:szCs w:val="18"/>
              </w:rPr>
            </w:pPr>
            <w:r>
              <w:rPr>
                <w:rFonts w:ascii="宋体" w:eastAsia="宋体" w:hAnsi="宋体" w:cs="宋体"/>
                <w:sz w:val="18"/>
                <w:szCs w:val="18"/>
              </w:rPr>
              <w:t>江阴华西村资本有限公司，为本公司全资子公司</w:t>
            </w:r>
          </w:p>
        </w:tc>
      </w:tr>
      <w:tr w:rsidR="00F068AD" w:rsidTr="00CB63C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rsidP="00CB63CD">
            <w:pPr>
              <w:spacing w:line="360" w:lineRule="auto"/>
              <w:rPr>
                <w:rFonts w:ascii="宋体" w:eastAsia="宋体" w:hAnsi="宋体" w:cs="宋体"/>
                <w:sz w:val="18"/>
                <w:szCs w:val="18"/>
              </w:rPr>
            </w:pPr>
            <w:r>
              <w:rPr>
                <w:rFonts w:ascii="宋体" w:eastAsia="宋体" w:hAnsi="宋体" w:cs="宋体"/>
                <w:sz w:val="18"/>
                <w:szCs w:val="18"/>
              </w:rPr>
              <w:t>华西码头</w:t>
            </w:r>
          </w:p>
        </w:tc>
        <w:tc>
          <w:tcPr>
            <w:tcW w:w="143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rsidP="00CB63CD">
            <w:pPr>
              <w:spacing w:before="40" w:after="40" w:line="360" w:lineRule="auto"/>
              <w:jc w:val="center"/>
              <w:rPr>
                <w:rFonts w:ascii="宋体" w:eastAsia="宋体" w:hAnsi="宋体" w:cs="宋体"/>
                <w:sz w:val="18"/>
                <w:szCs w:val="18"/>
              </w:rPr>
            </w:pPr>
            <w:r>
              <w:rPr>
                <w:rFonts w:ascii="宋体" w:eastAsia="宋体" w:hAnsi="宋体" w:cs="宋体"/>
                <w:sz w:val="18"/>
                <w:szCs w:val="18"/>
              </w:rPr>
              <w:t>指</w:t>
            </w:r>
          </w:p>
        </w:tc>
        <w:tc>
          <w:tcPr>
            <w:tcW w:w="4995" w:type="dxa"/>
            <w:tcBorders>
              <w:top w:val="single" w:sz="2" w:space="0" w:color="auto"/>
              <w:left w:val="single" w:sz="2" w:space="0" w:color="auto"/>
              <w:bottom w:val="single" w:sz="2" w:space="0" w:color="auto"/>
              <w:right w:val="single" w:sz="2" w:space="0" w:color="auto"/>
            </w:tcBorders>
            <w:vAlign w:val="center"/>
          </w:tcPr>
          <w:p w:rsidR="00F068AD" w:rsidRDefault="00CB63CD" w:rsidP="00CB63CD">
            <w:pPr>
              <w:spacing w:line="360" w:lineRule="auto"/>
              <w:rPr>
                <w:rFonts w:ascii="宋体" w:eastAsia="宋体" w:hAnsi="宋体" w:cs="宋体"/>
                <w:sz w:val="18"/>
                <w:szCs w:val="18"/>
              </w:rPr>
            </w:pPr>
            <w:r>
              <w:rPr>
                <w:rFonts w:ascii="宋体" w:eastAsia="宋体" w:hAnsi="宋体" w:cs="宋体"/>
                <w:sz w:val="18"/>
                <w:szCs w:val="18"/>
              </w:rPr>
              <w:t>江阴华西化工码头有限公司，为本公司控股子公司</w:t>
            </w:r>
          </w:p>
        </w:tc>
      </w:tr>
      <w:tr w:rsidR="00F068AD" w:rsidTr="00CB63C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rsidP="00CB63CD">
            <w:pPr>
              <w:spacing w:line="360" w:lineRule="auto"/>
              <w:rPr>
                <w:rFonts w:ascii="宋体" w:eastAsia="宋体" w:hAnsi="宋体" w:cs="宋体"/>
                <w:sz w:val="18"/>
                <w:szCs w:val="18"/>
              </w:rPr>
            </w:pPr>
            <w:r>
              <w:rPr>
                <w:rFonts w:ascii="宋体" w:eastAsia="宋体" w:hAnsi="宋体" w:cs="宋体"/>
                <w:sz w:val="18"/>
                <w:szCs w:val="18"/>
              </w:rPr>
              <w:t>一村资本</w:t>
            </w:r>
          </w:p>
        </w:tc>
        <w:tc>
          <w:tcPr>
            <w:tcW w:w="143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rsidP="00CB63CD">
            <w:pPr>
              <w:spacing w:before="40" w:after="40" w:line="360" w:lineRule="auto"/>
              <w:jc w:val="center"/>
              <w:rPr>
                <w:rFonts w:ascii="宋体" w:eastAsia="宋体" w:hAnsi="宋体" w:cs="宋体"/>
                <w:sz w:val="18"/>
                <w:szCs w:val="18"/>
              </w:rPr>
            </w:pPr>
            <w:r>
              <w:rPr>
                <w:rFonts w:ascii="宋体" w:eastAsia="宋体" w:hAnsi="宋体" w:cs="宋体"/>
                <w:sz w:val="18"/>
                <w:szCs w:val="18"/>
              </w:rPr>
              <w:t>指</w:t>
            </w:r>
          </w:p>
        </w:tc>
        <w:tc>
          <w:tcPr>
            <w:tcW w:w="4995" w:type="dxa"/>
            <w:tcBorders>
              <w:top w:val="single" w:sz="2" w:space="0" w:color="auto"/>
              <w:left w:val="single" w:sz="2" w:space="0" w:color="auto"/>
              <w:bottom w:val="single" w:sz="2" w:space="0" w:color="auto"/>
              <w:right w:val="single" w:sz="2" w:space="0" w:color="auto"/>
            </w:tcBorders>
            <w:vAlign w:val="center"/>
          </w:tcPr>
          <w:p w:rsidR="00F068AD" w:rsidRDefault="00CB63CD" w:rsidP="00CB63CD">
            <w:pPr>
              <w:spacing w:line="360" w:lineRule="auto"/>
              <w:rPr>
                <w:rFonts w:ascii="宋体" w:eastAsia="宋体" w:hAnsi="宋体" w:cs="宋体"/>
                <w:sz w:val="18"/>
                <w:szCs w:val="18"/>
              </w:rPr>
            </w:pPr>
            <w:r>
              <w:rPr>
                <w:rFonts w:ascii="宋体" w:eastAsia="宋体" w:hAnsi="宋体" w:cs="宋体"/>
                <w:sz w:val="18"/>
                <w:szCs w:val="18"/>
              </w:rPr>
              <w:t>一村资本有限公司，为本公司参股公司</w:t>
            </w:r>
          </w:p>
        </w:tc>
      </w:tr>
      <w:tr w:rsidR="00F068AD" w:rsidTr="00CB63C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rsidP="00CB63CD">
            <w:pPr>
              <w:spacing w:line="360" w:lineRule="auto"/>
              <w:rPr>
                <w:rFonts w:ascii="宋体" w:eastAsia="宋体" w:hAnsi="宋体" w:cs="宋体"/>
                <w:sz w:val="18"/>
                <w:szCs w:val="18"/>
              </w:rPr>
            </w:pPr>
            <w:r>
              <w:rPr>
                <w:rFonts w:ascii="宋体" w:eastAsia="宋体" w:hAnsi="宋体" w:cs="宋体"/>
                <w:sz w:val="18"/>
                <w:szCs w:val="18"/>
              </w:rPr>
              <w:t>华泰证券</w:t>
            </w:r>
          </w:p>
        </w:tc>
        <w:tc>
          <w:tcPr>
            <w:tcW w:w="143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rsidP="00CB63CD">
            <w:pPr>
              <w:spacing w:before="40" w:after="40" w:line="360" w:lineRule="auto"/>
              <w:jc w:val="center"/>
              <w:rPr>
                <w:rFonts w:ascii="宋体" w:eastAsia="宋体" w:hAnsi="宋体" w:cs="宋体"/>
                <w:sz w:val="18"/>
                <w:szCs w:val="18"/>
              </w:rPr>
            </w:pPr>
            <w:r>
              <w:rPr>
                <w:rFonts w:ascii="宋体" w:eastAsia="宋体" w:hAnsi="宋体" w:cs="宋体"/>
                <w:sz w:val="18"/>
                <w:szCs w:val="18"/>
              </w:rPr>
              <w:t>指</w:t>
            </w:r>
          </w:p>
        </w:tc>
        <w:tc>
          <w:tcPr>
            <w:tcW w:w="4995" w:type="dxa"/>
            <w:tcBorders>
              <w:top w:val="single" w:sz="2" w:space="0" w:color="auto"/>
              <w:left w:val="single" w:sz="2" w:space="0" w:color="auto"/>
              <w:bottom w:val="single" w:sz="2" w:space="0" w:color="auto"/>
              <w:right w:val="single" w:sz="2" w:space="0" w:color="auto"/>
            </w:tcBorders>
            <w:vAlign w:val="center"/>
          </w:tcPr>
          <w:p w:rsidR="00F068AD" w:rsidRDefault="00CB63CD" w:rsidP="00CB63CD">
            <w:pPr>
              <w:spacing w:line="360" w:lineRule="auto"/>
              <w:rPr>
                <w:rFonts w:ascii="宋体" w:eastAsia="宋体" w:hAnsi="宋体" w:cs="宋体"/>
                <w:sz w:val="18"/>
                <w:szCs w:val="18"/>
              </w:rPr>
            </w:pPr>
            <w:r>
              <w:rPr>
                <w:rFonts w:ascii="宋体" w:eastAsia="宋体" w:hAnsi="宋体" w:cs="宋体"/>
                <w:sz w:val="18"/>
                <w:szCs w:val="18"/>
              </w:rPr>
              <w:t>华泰证券股份有限公司，为本公司参股公司</w:t>
            </w:r>
          </w:p>
        </w:tc>
      </w:tr>
      <w:tr w:rsidR="00F068AD" w:rsidTr="00CB63C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rsidP="00CB63CD">
            <w:pPr>
              <w:spacing w:line="360" w:lineRule="auto"/>
              <w:rPr>
                <w:rFonts w:ascii="宋体" w:eastAsia="宋体" w:hAnsi="宋体" w:cs="宋体"/>
                <w:sz w:val="18"/>
                <w:szCs w:val="18"/>
              </w:rPr>
            </w:pPr>
            <w:r>
              <w:rPr>
                <w:rFonts w:ascii="宋体" w:eastAsia="宋体" w:hAnsi="宋体" w:cs="宋体"/>
                <w:sz w:val="18"/>
                <w:szCs w:val="18"/>
              </w:rPr>
              <w:t>江苏银行</w:t>
            </w:r>
          </w:p>
        </w:tc>
        <w:tc>
          <w:tcPr>
            <w:tcW w:w="143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rsidP="00CB63CD">
            <w:pPr>
              <w:spacing w:before="40" w:after="40" w:line="360" w:lineRule="auto"/>
              <w:jc w:val="center"/>
              <w:rPr>
                <w:rFonts w:ascii="宋体" w:eastAsia="宋体" w:hAnsi="宋体" w:cs="宋体"/>
                <w:sz w:val="18"/>
                <w:szCs w:val="18"/>
              </w:rPr>
            </w:pPr>
            <w:r>
              <w:rPr>
                <w:rFonts w:ascii="宋体" w:eastAsia="宋体" w:hAnsi="宋体" w:cs="宋体"/>
                <w:sz w:val="18"/>
                <w:szCs w:val="18"/>
              </w:rPr>
              <w:t>指</w:t>
            </w:r>
          </w:p>
        </w:tc>
        <w:tc>
          <w:tcPr>
            <w:tcW w:w="4995" w:type="dxa"/>
            <w:tcBorders>
              <w:top w:val="single" w:sz="2" w:space="0" w:color="auto"/>
              <w:left w:val="single" w:sz="2" w:space="0" w:color="auto"/>
              <w:bottom w:val="single" w:sz="2" w:space="0" w:color="auto"/>
              <w:right w:val="single" w:sz="2" w:space="0" w:color="auto"/>
            </w:tcBorders>
            <w:vAlign w:val="center"/>
          </w:tcPr>
          <w:p w:rsidR="00F068AD" w:rsidRDefault="00CB63CD" w:rsidP="00CB63CD">
            <w:pPr>
              <w:spacing w:line="360" w:lineRule="auto"/>
              <w:rPr>
                <w:rFonts w:ascii="宋体" w:eastAsia="宋体" w:hAnsi="宋体" w:cs="宋体"/>
                <w:sz w:val="18"/>
                <w:szCs w:val="18"/>
              </w:rPr>
            </w:pPr>
            <w:r>
              <w:rPr>
                <w:rFonts w:ascii="宋体" w:eastAsia="宋体" w:hAnsi="宋体" w:cs="宋体"/>
                <w:sz w:val="18"/>
                <w:szCs w:val="18"/>
              </w:rPr>
              <w:t>江苏银行股份有限公司，为本公司参股公司</w:t>
            </w:r>
          </w:p>
        </w:tc>
      </w:tr>
      <w:tr w:rsidR="00F068AD" w:rsidTr="00CB63C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rsidP="00CB63CD">
            <w:pPr>
              <w:spacing w:line="360" w:lineRule="auto"/>
              <w:rPr>
                <w:rFonts w:ascii="宋体" w:eastAsia="宋体" w:hAnsi="宋体" w:cs="宋体"/>
                <w:sz w:val="18"/>
                <w:szCs w:val="18"/>
              </w:rPr>
            </w:pPr>
            <w:r>
              <w:rPr>
                <w:rFonts w:ascii="宋体" w:eastAsia="宋体" w:hAnsi="宋体" w:cs="宋体"/>
                <w:sz w:val="18"/>
                <w:szCs w:val="18"/>
              </w:rPr>
              <w:t>华西财务</w:t>
            </w:r>
          </w:p>
        </w:tc>
        <w:tc>
          <w:tcPr>
            <w:tcW w:w="143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rsidP="00CB63CD">
            <w:pPr>
              <w:spacing w:before="40" w:after="40" w:line="360" w:lineRule="auto"/>
              <w:jc w:val="center"/>
              <w:rPr>
                <w:rFonts w:ascii="宋体" w:eastAsia="宋体" w:hAnsi="宋体" w:cs="宋体"/>
                <w:sz w:val="18"/>
                <w:szCs w:val="18"/>
              </w:rPr>
            </w:pPr>
            <w:r>
              <w:rPr>
                <w:rFonts w:ascii="宋体" w:eastAsia="宋体" w:hAnsi="宋体" w:cs="宋体"/>
                <w:sz w:val="18"/>
                <w:szCs w:val="18"/>
              </w:rPr>
              <w:t>指</w:t>
            </w:r>
          </w:p>
        </w:tc>
        <w:tc>
          <w:tcPr>
            <w:tcW w:w="4995" w:type="dxa"/>
            <w:tcBorders>
              <w:top w:val="single" w:sz="2" w:space="0" w:color="auto"/>
              <w:left w:val="single" w:sz="2" w:space="0" w:color="auto"/>
              <w:bottom w:val="single" w:sz="2" w:space="0" w:color="auto"/>
              <w:right w:val="single" w:sz="2" w:space="0" w:color="auto"/>
            </w:tcBorders>
            <w:vAlign w:val="center"/>
          </w:tcPr>
          <w:p w:rsidR="00F068AD" w:rsidRDefault="00CB63CD" w:rsidP="00CB63CD">
            <w:pPr>
              <w:spacing w:line="360" w:lineRule="auto"/>
              <w:rPr>
                <w:rFonts w:ascii="宋体" w:eastAsia="宋体" w:hAnsi="宋体" w:cs="宋体"/>
                <w:sz w:val="18"/>
                <w:szCs w:val="18"/>
              </w:rPr>
            </w:pPr>
            <w:r>
              <w:rPr>
                <w:rFonts w:ascii="宋体" w:eastAsia="宋体" w:hAnsi="宋体" w:cs="宋体"/>
                <w:sz w:val="18"/>
                <w:szCs w:val="18"/>
              </w:rPr>
              <w:t>江苏华西集团财务有限公司，为本公司参股公司</w:t>
            </w:r>
          </w:p>
        </w:tc>
      </w:tr>
      <w:tr w:rsidR="00F068AD" w:rsidTr="00CB63C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rsidP="00CB63CD">
            <w:pPr>
              <w:spacing w:line="360" w:lineRule="auto"/>
              <w:rPr>
                <w:rFonts w:ascii="宋体" w:eastAsia="宋体" w:hAnsi="宋体" w:cs="宋体"/>
                <w:sz w:val="18"/>
                <w:szCs w:val="18"/>
              </w:rPr>
            </w:pPr>
            <w:r>
              <w:rPr>
                <w:rFonts w:ascii="宋体" w:eastAsia="宋体" w:hAnsi="宋体" w:cs="宋体"/>
                <w:sz w:val="18"/>
                <w:szCs w:val="18"/>
              </w:rPr>
              <w:t>Venus Pearl SPV2 Co Limited</w:t>
            </w:r>
          </w:p>
        </w:tc>
        <w:tc>
          <w:tcPr>
            <w:tcW w:w="143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rsidP="00CB63CD">
            <w:pPr>
              <w:spacing w:before="40" w:after="40" w:line="360" w:lineRule="auto"/>
              <w:jc w:val="center"/>
              <w:rPr>
                <w:rFonts w:ascii="宋体" w:eastAsia="宋体" w:hAnsi="宋体" w:cs="宋体"/>
                <w:sz w:val="18"/>
                <w:szCs w:val="18"/>
              </w:rPr>
            </w:pPr>
            <w:r>
              <w:rPr>
                <w:rFonts w:ascii="宋体" w:eastAsia="宋体" w:hAnsi="宋体" w:cs="宋体"/>
                <w:sz w:val="18"/>
                <w:szCs w:val="18"/>
              </w:rPr>
              <w:t>指</w:t>
            </w:r>
          </w:p>
        </w:tc>
        <w:tc>
          <w:tcPr>
            <w:tcW w:w="4995" w:type="dxa"/>
            <w:tcBorders>
              <w:top w:val="single" w:sz="2" w:space="0" w:color="auto"/>
              <w:left w:val="single" w:sz="2" w:space="0" w:color="auto"/>
              <w:bottom w:val="single" w:sz="2" w:space="0" w:color="auto"/>
              <w:right w:val="single" w:sz="2" w:space="0" w:color="auto"/>
            </w:tcBorders>
            <w:vAlign w:val="center"/>
          </w:tcPr>
          <w:p w:rsidR="00F068AD" w:rsidRDefault="00CB63CD" w:rsidP="00CB63CD">
            <w:pPr>
              <w:spacing w:line="360" w:lineRule="auto"/>
              <w:rPr>
                <w:rFonts w:ascii="宋体" w:eastAsia="宋体" w:hAnsi="宋体" w:cs="宋体"/>
                <w:sz w:val="18"/>
                <w:szCs w:val="18"/>
              </w:rPr>
            </w:pPr>
            <w:r>
              <w:rPr>
                <w:rFonts w:ascii="宋体" w:eastAsia="宋体" w:hAnsi="宋体" w:cs="宋体"/>
                <w:sz w:val="18"/>
                <w:szCs w:val="18"/>
              </w:rPr>
              <w:t>索尔思光电顶层股权平台，简称索尔思光电，为本公司参股公司</w:t>
            </w:r>
          </w:p>
        </w:tc>
      </w:tr>
      <w:tr w:rsidR="00F068AD" w:rsidTr="00CB63C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rsidP="00CB63CD">
            <w:pPr>
              <w:spacing w:line="360" w:lineRule="auto"/>
              <w:rPr>
                <w:rFonts w:ascii="宋体" w:eastAsia="宋体" w:hAnsi="宋体" w:cs="宋体"/>
                <w:sz w:val="18"/>
                <w:szCs w:val="18"/>
              </w:rPr>
            </w:pPr>
            <w:r>
              <w:rPr>
                <w:rFonts w:ascii="宋体" w:eastAsia="宋体" w:hAnsi="宋体" w:cs="宋体"/>
                <w:sz w:val="18"/>
                <w:szCs w:val="18"/>
              </w:rPr>
              <w:t>上海启澜</w:t>
            </w:r>
          </w:p>
        </w:tc>
        <w:tc>
          <w:tcPr>
            <w:tcW w:w="143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rsidP="00CB63CD">
            <w:pPr>
              <w:spacing w:before="40" w:after="40" w:line="360" w:lineRule="auto"/>
              <w:jc w:val="center"/>
              <w:rPr>
                <w:rFonts w:ascii="宋体" w:eastAsia="宋体" w:hAnsi="宋体" w:cs="宋体"/>
                <w:sz w:val="18"/>
                <w:szCs w:val="18"/>
              </w:rPr>
            </w:pPr>
            <w:r>
              <w:rPr>
                <w:rFonts w:ascii="宋体" w:eastAsia="宋体" w:hAnsi="宋体" w:cs="宋体"/>
                <w:sz w:val="18"/>
                <w:szCs w:val="18"/>
              </w:rPr>
              <w:t>指</w:t>
            </w:r>
          </w:p>
        </w:tc>
        <w:tc>
          <w:tcPr>
            <w:tcW w:w="4995" w:type="dxa"/>
            <w:tcBorders>
              <w:top w:val="single" w:sz="2" w:space="0" w:color="auto"/>
              <w:left w:val="single" w:sz="2" w:space="0" w:color="auto"/>
              <w:bottom w:val="single" w:sz="2" w:space="0" w:color="auto"/>
              <w:right w:val="single" w:sz="2" w:space="0" w:color="auto"/>
            </w:tcBorders>
            <w:vAlign w:val="center"/>
          </w:tcPr>
          <w:p w:rsidR="00F068AD" w:rsidRDefault="00CB63CD" w:rsidP="00CB63CD">
            <w:pPr>
              <w:spacing w:line="360" w:lineRule="auto"/>
              <w:rPr>
                <w:rFonts w:ascii="宋体" w:eastAsia="宋体" w:hAnsi="宋体" w:cs="宋体"/>
                <w:sz w:val="18"/>
                <w:szCs w:val="18"/>
              </w:rPr>
            </w:pPr>
            <w:r>
              <w:rPr>
                <w:rFonts w:ascii="宋体" w:eastAsia="宋体" w:hAnsi="宋体" w:cs="宋体"/>
                <w:sz w:val="18"/>
                <w:szCs w:val="18"/>
              </w:rPr>
              <w:t>上海启澜企业管理咨询合伙企业（有限合伙），为公司控制的合伙企业</w:t>
            </w:r>
          </w:p>
        </w:tc>
      </w:tr>
      <w:tr w:rsidR="00F068AD" w:rsidTr="00CB63C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rsidP="00CB63CD">
            <w:pPr>
              <w:spacing w:line="360" w:lineRule="auto"/>
              <w:rPr>
                <w:rFonts w:ascii="宋体" w:eastAsia="宋体" w:hAnsi="宋体" w:cs="宋体"/>
                <w:sz w:val="18"/>
                <w:szCs w:val="18"/>
              </w:rPr>
            </w:pPr>
            <w:r>
              <w:rPr>
                <w:rFonts w:ascii="宋体" w:eastAsia="宋体" w:hAnsi="宋体" w:cs="宋体"/>
                <w:sz w:val="18"/>
                <w:szCs w:val="18"/>
              </w:rPr>
              <w:t>PTA</w:t>
            </w:r>
          </w:p>
        </w:tc>
        <w:tc>
          <w:tcPr>
            <w:tcW w:w="143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rsidP="00CB63CD">
            <w:pPr>
              <w:spacing w:before="40" w:after="40" w:line="360" w:lineRule="auto"/>
              <w:jc w:val="center"/>
              <w:rPr>
                <w:rFonts w:ascii="宋体" w:eastAsia="宋体" w:hAnsi="宋体" w:cs="宋体"/>
                <w:sz w:val="18"/>
                <w:szCs w:val="18"/>
              </w:rPr>
            </w:pPr>
            <w:r>
              <w:rPr>
                <w:rFonts w:ascii="宋体" w:eastAsia="宋体" w:hAnsi="宋体" w:cs="宋体"/>
                <w:sz w:val="18"/>
                <w:szCs w:val="18"/>
              </w:rPr>
              <w:t>指</w:t>
            </w:r>
          </w:p>
        </w:tc>
        <w:tc>
          <w:tcPr>
            <w:tcW w:w="4995" w:type="dxa"/>
            <w:tcBorders>
              <w:top w:val="single" w:sz="2" w:space="0" w:color="auto"/>
              <w:left w:val="single" w:sz="2" w:space="0" w:color="auto"/>
              <w:bottom w:val="single" w:sz="2" w:space="0" w:color="auto"/>
              <w:right w:val="single" w:sz="2" w:space="0" w:color="auto"/>
            </w:tcBorders>
            <w:vAlign w:val="center"/>
          </w:tcPr>
          <w:p w:rsidR="00F068AD" w:rsidRDefault="00CB63CD" w:rsidP="00CB63CD">
            <w:pPr>
              <w:spacing w:line="360" w:lineRule="auto"/>
              <w:rPr>
                <w:rFonts w:ascii="宋体" w:eastAsia="宋体" w:hAnsi="宋体" w:cs="宋体"/>
                <w:sz w:val="18"/>
                <w:szCs w:val="18"/>
              </w:rPr>
            </w:pPr>
            <w:r>
              <w:rPr>
                <w:rFonts w:ascii="宋体" w:eastAsia="宋体" w:hAnsi="宋体" w:cs="宋体"/>
                <w:sz w:val="18"/>
                <w:szCs w:val="18"/>
              </w:rPr>
              <w:t>精对苯二甲酸</w:t>
            </w:r>
          </w:p>
        </w:tc>
      </w:tr>
      <w:tr w:rsidR="00F068AD" w:rsidTr="00CB63C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rsidP="00CB63CD">
            <w:pPr>
              <w:spacing w:line="360" w:lineRule="auto"/>
              <w:rPr>
                <w:rFonts w:ascii="宋体" w:eastAsia="宋体" w:hAnsi="宋体" w:cs="宋体"/>
                <w:sz w:val="18"/>
                <w:szCs w:val="18"/>
              </w:rPr>
            </w:pPr>
            <w:r>
              <w:rPr>
                <w:rFonts w:ascii="宋体" w:eastAsia="宋体" w:hAnsi="宋体" w:cs="宋体"/>
                <w:sz w:val="18"/>
                <w:szCs w:val="18"/>
              </w:rPr>
              <w:t>MEG</w:t>
            </w:r>
          </w:p>
        </w:tc>
        <w:tc>
          <w:tcPr>
            <w:tcW w:w="143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rsidP="00CB63CD">
            <w:pPr>
              <w:spacing w:before="40" w:after="40" w:line="360" w:lineRule="auto"/>
              <w:jc w:val="center"/>
              <w:rPr>
                <w:rFonts w:ascii="宋体" w:eastAsia="宋体" w:hAnsi="宋体" w:cs="宋体"/>
                <w:sz w:val="18"/>
                <w:szCs w:val="18"/>
              </w:rPr>
            </w:pPr>
            <w:r>
              <w:rPr>
                <w:rFonts w:ascii="宋体" w:eastAsia="宋体" w:hAnsi="宋体" w:cs="宋体"/>
                <w:sz w:val="18"/>
                <w:szCs w:val="18"/>
              </w:rPr>
              <w:t>指</w:t>
            </w:r>
          </w:p>
        </w:tc>
        <w:tc>
          <w:tcPr>
            <w:tcW w:w="4995" w:type="dxa"/>
            <w:tcBorders>
              <w:top w:val="single" w:sz="2" w:space="0" w:color="auto"/>
              <w:left w:val="single" w:sz="2" w:space="0" w:color="auto"/>
              <w:bottom w:val="single" w:sz="2" w:space="0" w:color="auto"/>
              <w:right w:val="single" w:sz="2" w:space="0" w:color="auto"/>
            </w:tcBorders>
            <w:vAlign w:val="center"/>
          </w:tcPr>
          <w:p w:rsidR="00F068AD" w:rsidRDefault="00CB63CD" w:rsidP="00CB63CD">
            <w:pPr>
              <w:spacing w:line="360" w:lineRule="auto"/>
              <w:rPr>
                <w:rFonts w:ascii="宋体" w:eastAsia="宋体" w:hAnsi="宋体" w:cs="宋体"/>
                <w:sz w:val="18"/>
                <w:szCs w:val="18"/>
              </w:rPr>
            </w:pPr>
            <w:r>
              <w:rPr>
                <w:rFonts w:ascii="宋体" w:eastAsia="宋体" w:hAnsi="宋体" w:cs="宋体"/>
                <w:sz w:val="18"/>
                <w:szCs w:val="18"/>
              </w:rPr>
              <w:t>乙二醇</w:t>
            </w:r>
          </w:p>
        </w:tc>
      </w:tr>
      <w:tr w:rsidR="00F068AD" w:rsidTr="00CB63C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rsidP="00CB63CD">
            <w:pPr>
              <w:spacing w:line="360" w:lineRule="auto"/>
              <w:rPr>
                <w:rFonts w:ascii="宋体" w:eastAsia="宋体" w:hAnsi="宋体" w:cs="宋体"/>
                <w:sz w:val="18"/>
                <w:szCs w:val="18"/>
              </w:rPr>
            </w:pPr>
            <w:r>
              <w:rPr>
                <w:rFonts w:ascii="宋体" w:eastAsia="宋体" w:hAnsi="宋体" w:cs="宋体"/>
                <w:sz w:val="18"/>
                <w:szCs w:val="18"/>
              </w:rPr>
              <w:t>PF</w:t>
            </w:r>
          </w:p>
        </w:tc>
        <w:tc>
          <w:tcPr>
            <w:tcW w:w="143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rsidP="00CB63CD">
            <w:pPr>
              <w:spacing w:before="40" w:after="40" w:line="360" w:lineRule="auto"/>
              <w:jc w:val="center"/>
              <w:rPr>
                <w:rFonts w:ascii="宋体" w:eastAsia="宋体" w:hAnsi="宋体" w:cs="宋体"/>
                <w:sz w:val="18"/>
                <w:szCs w:val="18"/>
              </w:rPr>
            </w:pPr>
            <w:r>
              <w:rPr>
                <w:rFonts w:ascii="宋体" w:eastAsia="宋体" w:hAnsi="宋体" w:cs="宋体"/>
                <w:sz w:val="18"/>
                <w:szCs w:val="18"/>
              </w:rPr>
              <w:t>指</w:t>
            </w:r>
          </w:p>
        </w:tc>
        <w:tc>
          <w:tcPr>
            <w:tcW w:w="4995" w:type="dxa"/>
            <w:tcBorders>
              <w:top w:val="single" w:sz="2" w:space="0" w:color="auto"/>
              <w:left w:val="single" w:sz="2" w:space="0" w:color="auto"/>
              <w:bottom w:val="single" w:sz="2" w:space="0" w:color="auto"/>
              <w:right w:val="single" w:sz="2" w:space="0" w:color="auto"/>
            </w:tcBorders>
            <w:vAlign w:val="center"/>
          </w:tcPr>
          <w:p w:rsidR="00F068AD" w:rsidRDefault="00CB63CD" w:rsidP="00CB63CD">
            <w:pPr>
              <w:spacing w:line="360" w:lineRule="auto"/>
              <w:rPr>
                <w:rFonts w:ascii="宋体" w:eastAsia="宋体" w:hAnsi="宋体" w:cs="宋体"/>
                <w:sz w:val="18"/>
                <w:szCs w:val="18"/>
              </w:rPr>
            </w:pPr>
            <w:r>
              <w:rPr>
                <w:rFonts w:ascii="宋体" w:eastAsia="宋体" w:hAnsi="宋体" w:cs="宋体"/>
                <w:sz w:val="18"/>
                <w:szCs w:val="18"/>
              </w:rPr>
              <w:t>涤纶短纤维</w:t>
            </w:r>
          </w:p>
        </w:tc>
      </w:tr>
      <w:tr w:rsidR="00F068AD" w:rsidTr="00CB63C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rsidP="00CB63CD">
            <w:pPr>
              <w:spacing w:line="360" w:lineRule="auto"/>
              <w:rPr>
                <w:rFonts w:ascii="宋体" w:eastAsia="宋体" w:hAnsi="宋体" w:cs="宋体"/>
                <w:sz w:val="18"/>
                <w:szCs w:val="18"/>
              </w:rPr>
            </w:pPr>
            <w:r>
              <w:rPr>
                <w:rFonts w:ascii="宋体" w:eastAsia="宋体" w:hAnsi="宋体" w:cs="宋体"/>
                <w:sz w:val="18"/>
                <w:szCs w:val="18"/>
              </w:rPr>
              <w:t>报告期</w:t>
            </w:r>
          </w:p>
        </w:tc>
        <w:tc>
          <w:tcPr>
            <w:tcW w:w="143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rsidP="00CB63CD">
            <w:pPr>
              <w:spacing w:before="40" w:after="40" w:line="360" w:lineRule="auto"/>
              <w:jc w:val="center"/>
              <w:rPr>
                <w:rFonts w:ascii="宋体" w:eastAsia="宋体" w:hAnsi="宋体" w:cs="宋体"/>
                <w:sz w:val="18"/>
                <w:szCs w:val="18"/>
              </w:rPr>
            </w:pPr>
            <w:r>
              <w:rPr>
                <w:rFonts w:ascii="宋体" w:eastAsia="宋体" w:hAnsi="宋体" w:cs="宋体"/>
                <w:sz w:val="18"/>
                <w:szCs w:val="18"/>
              </w:rPr>
              <w:t>指</w:t>
            </w:r>
          </w:p>
        </w:tc>
        <w:tc>
          <w:tcPr>
            <w:tcW w:w="4995" w:type="dxa"/>
            <w:tcBorders>
              <w:top w:val="single" w:sz="2" w:space="0" w:color="auto"/>
              <w:left w:val="single" w:sz="2" w:space="0" w:color="auto"/>
              <w:bottom w:val="single" w:sz="2" w:space="0" w:color="auto"/>
              <w:right w:val="single" w:sz="2" w:space="0" w:color="auto"/>
            </w:tcBorders>
            <w:vAlign w:val="center"/>
          </w:tcPr>
          <w:p w:rsidR="00F068AD" w:rsidRDefault="00CB63CD" w:rsidP="00CB63CD">
            <w:pPr>
              <w:spacing w:line="360" w:lineRule="auto"/>
              <w:rPr>
                <w:rFonts w:ascii="宋体" w:eastAsia="宋体" w:hAnsi="宋体" w:cs="宋体"/>
                <w:sz w:val="18"/>
                <w:szCs w:val="18"/>
              </w:rPr>
            </w:pPr>
            <w:r>
              <w:rPr>
                <w:rFonts w:ascii="宋体" w:eastAsia="宋体" w:hAnsi="宋体" w:cs="宋体"/>
                <w:sz w:val="18"/>
                <w:szCs w:val="18"/>
              </w:rPr>
              <w:t>2022年1月1日至2022年6月30日</w:t>
            </w:r>
          </w:p>
        </w:tc>
      </w:tr>
      <w:tr w:rsidR="00F068AD" w:rsidTr="00CB63C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rsidP="00CB63CD">
            <w:pPr>
              <w:spacing w:line="360" w:lineRule="auto"/>
              <w:rPr>
                <w:rFonts w:ascii="宋体" w:eastAsia="宋体" w:hAnsi="宋体" w:cs="宋体"/>
                <w:sz w:val="18"/>
                <w:szCs w:val="18"/>
              </w:rPr>
            </w:pPr>
            <w:r>
              <w:rPr>
                <w:rFonts w:ascii="宋体" w:eastAsia="宋体" w:hAnsi="宋体" w:cs="宋体"/>
                <w:sz w:val="18"/>
                <w:szCs w:val="18"/>
              </w:rPr>
              <w:t>元、万元</w:t>
            </w:r>
          </w:p>
        </w:tc>
        <w:tc>
          <w:tcPr>
            <w:tcW w:w="143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rsidP="00CB63CD">
            <w:pPr>
              <w:spacing w:before="40" w:after="40" w:line="360" w:lineRule="auto"/>
              <w:jc w:val="center"/>
              <w:rPr>
                <w:rFonts w:ascii="宋体" w:eastAsia="宋体" w:hAnsi="宋体" w:cs="宋体"/>
                <w:sz w:val="18"/>
                <w:szCs w:val="18"/>
              </w:rPr>
            </w:pPr>
            <w:r>
              <w:rPr>
                <w:rFonts w:ascii="宋体" w:eastAsia="宋体" w:hAnsi="宋体" w:cs="宋体"/>
                <w:sz w:val="18"/>
                <w:szCs w:val="18"/>
              </w:rPr>
              <w:t>指</w:t>
            </w:r>
          </w:p>
        </w:tc>
        <w:tc>
          <w:tcPr>
            <w:tcW w:w="4995" w:type="dxa"/>
            <w:tcBorders>
              <w:top w:val="single" w:sz="2" w:space="0" w:color="auto"/>
              <w:left w:val="single" w:sz="2" w:space="0" w:color="auto"/>
              <w:bottom w:val="single" w:sz="2" w:space="0" w:color="auto"/>
              <w:right w:val="single" w:sz="2" w:space="0" w:color="auto"/>
            </w:tcBorders>
            <w:vAlign w:val="center"/>
          </w:tcPr>
          <w:p w:rsidR="00F068AD" w:rsidRDefault="00CB63CD" w:rsidP="00CB63CD">
            <w:pPr>
              <w:spacing w:line="360" w:lineRule="auto"/>
              <w:rPr>
                <w:rFonts w:ascii="宋体" w:eastAsia="宋体" w:hAnsi="宋体" w:cs="宋体"/>
                <w:sz w:val="18"/>
                <w:szCs w:val="18"/>
              </w:rPr>
            </w:pPr>
            <w:r>
              <w:rPr>
                <w:rFonts w:ascii="宋体" w:eastAsia="宋体" w:hAnsi="宋体" w:cs="宋体"/>
                <w:sz w:val="18"/>
                <w:szCs w:val="18"/>
              </w:rPr>
              <w:t>人民币元、万元</w:t>
            </w:r>
          </w:p>
        </w:tc>
      </w:tr>
    </w:tbl>
    <w:p w:rsidR="00F068AD" w:rsidRDefault="00CB63CD">
      <w:r>
        <w:br w:type="page"/>
      </w:r>
    </w:p>
    <w:p w:rsidR="00F068AD" w:rsidRDefault="00CB63CD">
      <w:pPr>
        <w:pStyle w:val="headingh1"/>
        <w:spacing w:before="340" w:after="330" w:line="773" w:lineRule="exact"/>
        <w:jc w:val="center"/>
        <w:rPr>
          <w:rFonts w:ascii="宋体" w:eastAsia="宋体" w:hAnsi="宋体" w:cs="宋体"/>
          <w:b/>
          <w:bCs/>
          <w:sz w:val="32"/>
          <w:szCs w:val="32"/>
        </w:rPr>
      </w:pPr>
      <w:bookmarkStart w:id="1" w:name="_Toc988890"/>
      <w:r>
        <w:rPr>
          <w:rFonts w:ascii="宋体" w:eastAsia="宋体" w:hAnsi="宋体" w:cs="宋体"/>
          <w:b/>
          <w:bCs/>
          <w:sz w:val="32"/>
          <w:szCs w:val="32"/>
        </w:rPr>
        <w:lastRenderedPageBreak/>
        <w:t>第二节 公司简介和主要财务指标</w:t>
      </w:r>
      <w:bookmarkEnd w:id="1"/>
    </w:p>
    <w:p w:rsidR="00F068AD" w:rsidRDefault="00CB63CD">
      <w:pPr>
        <w:pStyle w:val="2"/>
        <w:spacing w:before="300" w:after="300" w:line="320" w:lineRule="exact"/>
        <w:rPr>
          <w:rFonts w:ascii="宋体" w:eastAsia="宋体" w:hAnsi="宋体" w:cs="宋体"/>
          <w:b/>
          <w:bCs/>
          <w:sz w:val="24"/>
          <w:szCs w:val="24"/>
        </w:rPr>
      </w:pPr>
      <w:bookmarkStart w:id="2" w:name="_Toc988891"/>
      <w:r>
        <w:rPr>
          <w:rFonts w:ascii="宋体" w:eastAsia="宋体" w:hAnsi="宋体" w:cs="宋体"/>
          <w:b/>
          <w:bCs/>
          <w:sz w:val="24"/>
          <w:szCs w:val="24"/>
        </w:rPr>
        <w:t>一、公司简介</w:t>
      </w:r>
      <w:bookmarkEnd w:id="2"/>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股票简称</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华西股份</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股票代码</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000936</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股票上市证券交易所</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深圳证券交易所</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公司的中文名称</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江苏华西村股份有限公司</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公司的中文简称（如有）</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华西股份</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公司的外文名称（如有）</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JIANGSU HUAXICUN CO.,LTD.</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公司的法定代表人</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吴协恩</w:t>
            </w:r>
          </w:p>
        </w:tc>
      </w:tr>
    </w:tbl>
    <w:p w:rsidR="00F068AD" w:rsidRDefault="00CB63CD">
      <w:pPr>
        <w:pStyle w:val="2"/>
        <w:spacing w:before="300" w:after="300" w:line="320" w:lineRule="exact"/>
        <w:rPr>
          <w:rFonts w:ascii="宋体" w:eastAsia="宋体" w:hAnsi="宋体" w:cs="宋体"/>
          <w:b/>
          <w:bCs/>
          <w:sz w:val="24"/>
          <w:szCs w:val="24"/>
        </w:rPr>
      </w:pPr>
      <w:bookmarkStart w:id="3" w:name="_Toc988892"/>
      <w:r>
        <w:rPr>
          <w:rFonts w:ascii="宋体" w:eastAsia="宋体" w:hAnsi="宋体" w:cs="宋体"/>
          <w:b/>
          <w:bCs/>
          <w:sz w:val="24"/>
          <w:szCs w:val="24"/>
        </w:rPr>
        <w:t>二、联系人和联系方式</w:t>
      </w:r>
      <w:bookmarkEnd w:id="3"/>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董事会秘书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证券事务代表</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姓名</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王学良</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查建玉</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联系地址</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江苏省江阴市华西村南苑宾馆9号楼</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江苏省江阴市华西村南苑宾馆9号楼</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电话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0510-86217188</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0510-86217149</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传真</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0510-86217177</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0510-86217177</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电子信箱</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wangxl@cnhuaxicun.com</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zhajy@cnhuaxicun.com</w:t>
            </w:r>
          </w:p>
        </w:tc>
      </w:tr>
    </w:tbl>
    <w:p w:rsidR="00F068AD" w:rsidRDefault="00CB63CD">
      <w:pPr>
        <w:pStyle w:val="2"/>
        <w:spacing w:before="300" w:after="300" w:line="320" w:lineRule="exact"/>
        <w:rPr>
          <w:rFonts w:ascii="宋体" w:eastAsia="宋体" w:hAnsi="宋体" w:cs="宋体"/>
          <w:b/>
          <w:bCs/>
          <w:sz w:val="24"/>
          <w:szCs w:val="24"/>
        </w:rPr>
      </w:pPr>
      <w:bookmarkStart w:id="4" w:name="_Toc988893"/>
      <w:r>
        <w:rPr>
          <w:rFonts w:ascii="宋体" w:eastAsia="宋体" w:hAnsi="宋体" w:cs="宋体"/>
          <w:b/>
          <w:bCs/>
          <w:sz w:val="24"/>
          <w:szCs w:val="24"/>
        </w:rPr>
        <w:t>三、其他情况</w:t>
      </w:r>
      <w:bookmarkEnd w:id="4"/>
    </w:p>
    <w:p w:rsidR="00F068AD" w:rsidRDefault="00CB63CD">
      <w:pPr>
        <w:pStyle w:val="3"/>
        <w:spacing w:line="280" w:lineRule="exact"/>
        <w:jc w:val="left"/>
        <w:rPr>
          <w:rFonts w:ascii="宋体" w:hAnsi="宋体" w:cs="宋体"/>
          <w:b/>
          <w:bCs/>
        </w:rPr>
      </w:pPr>
      <w:bookmarkStart w:id="5" w:name="_Toc988894"/>
      <w:r>
        <w:rPr>
          <w:rFonts w:ascii="宋体" w:hAnsi="宋体" w:cs="宋体"/>
          <w:b/>
          <w:bCs/>
        </w:rPr>
        <w:t>1、公司联系方式</w:t>
      </w:r>
      <w:bookmarkEnd w:id="5"/>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公司注册地址，公司办公地址及其邮政编码，公司网址、电子信箱在报告期是否变化</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公司注册地址，公司办公地址及其邮政编码，公司网址、电子信箱报告期无变化，具体可参见2021年年报。</w:t>
      </w:r>
    </w:p>
    <w:p w:rsidR="00F068AD" w:rsidRDefault="00CB63CD">
      <w:pPr>
        <w:pStyle w:val="3"/>
        <w:spacing w:line="280" w:lineRule="exact"/>
        <w:jc w:val="left"/>
        <w:rPr>
          <w:rFonts w:ascii="宋体" w:hAnsi="宋体" w:cs="宋体"/>
          <w:b/>
          <w:bCs/>
        </w:rPr>
      </w:pPr>
      <w:bookmarkStart w:id="6" w:name="_Toc988895"/>
      <w:r>
        <w:rPr>
          <w:rFonts w:ascii="宋体" w:hAnsi="宋体" w:cs="宋体"/>
          <w:b/>
          <w:bCs/>
        </w:rPr>
        <w:t>2、信息披露及备置地点</w:t>
      </w:r>
      <w:bookmarkEnd w:id="6"/>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信息披露及备置地点在报告期是否变化</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公司选定的信息披露报纸的名称，登载半年度报告的中国证监会指定网站的网址，公司半年度报告备置地报告期无变化，具体可参见2021年年报。</w:t>
      </w:r>
    </w:p>
    <w:p w:rsidR="00F068AD" w:rsidRDefault="00CB63CD">
      <w:pPr>
        <w:pStyle w:val="3"/>
        <w:spacing w:line="280" w:lineRule="exact"/>
        <w:jc w:val="left"/>
        <w:rPr>
          <w:rFonts w:ascii="宋体" w:hAnsi="宋体" w:cs="宋体"/>
          <w:b/>
          <w:bCs/>
        </w:rPr>
      </w:pPr>
      <w:bookmarkStart w:id="7" w:name="_Toc988896"/>
      <w:r>
        <w:rPr>
          <w:rFonts w:ascii="宋体" w:hAnsi="宋体" w:cs="宋体"/>
          <w:b/>
          <w:bCs/>
        </w:rPr>
        <w:t>3、其他有关资料</w:t>
      </w:r>
      <w:bookmarkEnd w:id="7"/>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其他有关资料在报告期是否变更情况</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pStyle w:val="2"/>
        <w:spacing w:before="300" w:after="300" w:line="320" w:lineRule="exact"/>
        <w:rPr>
          <w:rFonts w:ascii="宋体" w:eastAsia="宋体" w:hAnsi="宋体" w:cs="宋体"/>
          <w:b/>
          <w:bCs/>
          <w:sz w:val="24"/>
          <w:szCs w:val="24"/>
        </w:rPr>
      </w:pPr>
      <w:bookmarkStart w:id="8" w:name="_Toc988897"/>
      <w:r>
        <w:rPr>
          <w:rFonts w:ascii="宋体" w:eastAsia="宋体" w:hAnsi="宋体" w:cs="宋体"/>
          <w:b/>
          <w:bCs/>
          <w:sz w:val="24"/>
          <w:szCs w:val="24"/>
        </w:rPr>
        <w:t>四、主要会计数据和财务指标</w:t>
      </w:r>
      <w:bookmarkEnd w:id="8"/>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公司是否需追溯调整或重述以前年度会计数据</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 xml:space="preserve">□是 </w:t>
      </w:r>
      <w:r>
        <w:rPr>
          <w:rFonts w:ascii="宋体" w:eastAsia="宋体" w:hAnsi="宋体" w:cs="宋体"/>
          <w:sz w:val="18"/>
          <w:szCs w:val="18"/>
        </w:rPr>
        <w:sym w:font="Wingdings 2" w:char="F052"/>
      </w:r>
      <w:r>
        <w:rPr>
          <w:rFonts w:ascii="宋体" w:eastAsia="宋体" w:hAnsi="宋体" w:cs="宋体"/>
          <w:sz w:val="18"/>
          <w:szCs w:val="18"/>
        </w:rPr>
        <w:t>否</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上年同期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本报告期比上年同期增减</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营业收入（元）</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1,477,391,014.14</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1,210,054,873.58</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22.09%</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归属于上市公司股东的净利润（元）</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98,728,051.07</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392,522,831.50</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-74.85%</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归属于上市公司股东的扣除非经常性损益的净利润（元）</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98,203,482.54</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391,937,509.91</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-74.94%</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经营活动产生的现金流量净额（元）</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-92,450,866.83</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22,541,197.53</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-510.14%</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基本每股收益（元/股）</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0.11</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0.44</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-75.00%</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稀释每股收益（元/股）</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0.11</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0.44</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-75.00%</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加权平均净资产收益率</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1.95%</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8.01%</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627C2" w:rsidP="00C627C2">
            <w:pPr>
              <w:spacing w:line="240" w:lineRule="exact"/>
              <w:jc w:val="right"/>
              <w:rPr>
                <w:rFonts w:ascii="宋体" w:eastAsia="宋体" w:hAnsi="宋体" w:cs="宋体"/>
                <w:sz w:val="18"/>
                <w:szCs w:val="18"/>
              </w:rPr>
            </w:pPr>
            <w:r>
              <w:rPr>
                <w:rFonts w:ascii="宋体" w:eastAsia="宋体" w:hAnsi="宋体" w:cs="宋体"/>
                <w:sz w:val="18"/>
                <w:szCs w:val="18"/>
              </w:rPr>
              <w:t>减少了</w:t>
            </w:r>
            <w:r w:rsidR="00CB63CD">
              <w:rPr>
                <w:rFonts w:ascii="宋体" w:eastAsia="宋体" w:hAnsi="宋体" w:cs="宋体"/>
                <w:sz w:val="18"/>
                <w:szCs w:val="18"/>
              </w:rPr>
              <w:t>6.06</w:t>
            </w:r>
            <w:r>
              <w:rPr>
                <w:rFonts w:ascii="宋体" w:eastAsia="宋体" w:hAnsi="宋体" w:cs="宋体"/>
                <w:sz w:val="18"/>
                <w:szCs w:val="18"/>
              </w:rPr>
              <w:t>个百分点</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上年度末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本报告期末比上年度末增减</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总资产（元）</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6,599,481,653.83</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6,723,135,632.50</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-1.84%</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归属于上市公司股东的净资产（元）</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5,073,810,659.81</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5,006,443,695.47</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1.35%</w:t>
            </w:r>
          </w:p>
        </w:tc>
      </w:tr>
    </w:tbl>
    <w:p w:rsidR="00F068AD" w:rsidRDefault="00CB63CD">
      <w:pPr>
        <w:pStyle w:val="2"/>
        <w:spacing w:before="300" w:after="300" w:line="320" w:lineRule="exact"/>
        <w:rPr>
          <w:rFonts w:ascii="宋体" w:eastAsia="宋体" w:hAnsi="宋体" w:cs="宋体"/>
          <w:b/>
          <w:bCs/>
          <w:sz w:val="24"/>
          <w:szCs w:val="24"/>
        </w:rPr>
      </w:pPr>
      <w:bookmarkStart w:id="9" w:name="_Toc988898"/>
      <w:r>
        <w:rPr>
          <w:rFonts w:ascii="宋体" w:eastAsia="宋体" w:hAnsi="宋体" w:cs="宋体"/>
          <w:b/>
          <w:bCs/>
          <w:sz w:val="24"/>
          <w:szCs w:val="24"/>
        </w:rPr>
        <w:t>五、境内外会计准则下会计数据差异</w:t>
      </w:r>
      <w:bookmarkEnd w:id="9"/>
    </w:p>
    <w:p w:rsidR="00F068AD" w:rsidRDefault="00CB63CD">
      <w:pPr>
        <w:pStyle w:val="3"/>
        <w:spacing w:line="280" w:lineRule="exact"/>
        <w:jc w:val="left"/>
        <w:rPr>
          <w:rFonts w:ascii="宋体" w:hAnsi="宋体" w:cs="宋体"/>
          <w:b/>
          <w:bCs/>
        </w:rPr>
      </w:pPr>
      <w:bookmarkStart w:id="10" w:name="_Toc988899"/>
      <w:r>
        <w:rPr>
          <w:rFonts w:ascii="宋体" w:hAnsi="宋体" w:cs="宋体"/>
          <w:b/>
          <w:bCs/>
        </w:rPr>
        <w:t>1、同时按照国际会计准则与按照中国会计准则披露的财务报告中净利润和净资产差异情况</w:t>
      </w:r>
      <w:bookmarkEnd w:id="10"/>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公司报告期不存在按照国际会计准则与按照中国会计准则披露的财务报告中净利润和净资产差异情况。</w:t>
      </w:r>
    </w:p>
    <w:p w:rsidR="00F068AD" w:rsidRDefault="00CB63CD">
      <w:pPr>
        <w:pStyle w:val="3"/>
        <w:spacing w:line="280" w:lineRule="exact"/>
        <w:jc w:val="left"/>
        <w:rPr>
          <w:rFonts w:ascii="宋体" w:hAnsi="宋体" w:cs="宋体"/>
          <w:b/>
          <w:bCs/>
        </w:rPr>
      </w:pPr>
      <w:bookmarkStart w:id="11" w:name="_Toc988900"/>
      <w:r>
        <w:rPr>
          <w:rFonts w:ascii="宋体" w:hAnsi="宋体" w:cs="宋体"/>
          <w:b/>
          <w:bCs/>
        </w:rPr>
        <w:t>2、同时按照境外会计准则与按照中国会计准则披露的财务报告中净利润和净资产差异情况</w:t>
      </w:r>
      <w:bookmarkEnd w:id="11"/>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公司报告期不存在按照境外会计准则与按照中国会计准则披露的财务报告中净利润和净资产差异情况。</w:t>
      </w:r>
    </w:p>
    <w:p w:rsidR="00F068AD" w:rsidRDefault="00CB63CD">
      <w:pPr>
        <w:pStyle w:val="2"/>
        <w:spacing w:before="300" w:after="300" w:line="320" w:lineRule="exact"/>
        <w:rPr>
          <w:rFonts w:ascii="宋体" w:eastAsia="宋体" w:hAnsi="宋体" w:cs="宋体"/>
          <w:b/>
          <w:bCs/>
          <w:sz w:val="24"/>
          <w:szCs w:val="24"/>
        </w:rPr>
      </w:pPr>
      <w:bookmarkStart w:id="12" w:name="_Toc988901"/>
      <w:r>
        <w:rPr>
          <w:rFonts w:ascii="宋体" w:eastAsia="宋体" w:hAnsi="宋体" w:cs="宋体"/>
          <w:b/>
          <w:bCs/>
          <w:sz w:val="24"/>
          <w:szCs w:val="24"/>
        </w:rPr>
        <w:t>六、非经常性损益项目及金额</w:t>
      </w:r>
      <w:bookmarkEnd w:id="12"/>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F068AD" w:rsidRDefault="00CB63C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jc w:val="center"/>
              <w:rPr>
                <w:rFonts w:ascii="宋体" w:eastAsia="宋体" w:hAnsi="宋体" w:cs="宋体"/>
                <w:sz w:val="18"/>
                <w:szCs w:val="18"/>
              </w:rPr>
            </w:pPr>
            <w:r>
              <w:rPr>
                <w:rFonts w:ascii="宋体" w:eastAsia="宋体" w:hAnsi="宋体" w:cs="宋体"/>
                <w:sz w:val="18"/>
                <w:szCs w:val="18"/>
              </w:rPr>
              <w:t>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jc w:val="center"/>
              <w:rPr>
                <w:rFonts w:ascii="宋体" w:eastAsia="宋体" w:hAnsi="宋体" w:cs="宋体"/>
                <w:sz w:val="18"/>
                <w:szCs w:val="18"/>
              </w:rPr>
            </w:pPr>
            <w:r>
              <w:rPr>
                <w:rFonts w:ascii="宋体" w:eastAsia="宋体" w:hAnsi="宋体" w:cs="宋体"/>
                <w:sz w:val="18"/>
                <w:szCs w:val="18"/>
              </w:rPr>
              <w:t>说明</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非流动资产处置损益（包括已计提资产减值准备的冲销部分）</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-4,582.53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计入当期损益的政府补助（与公司正常经营业务密切相关，符合国家政策规定、按照一定标准定额或定量持续享受的政府补助除外）</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1,295,131.16</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除上述各项之外的其他营业外收入和支出</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-394,851.35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减：所得税影响额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223,924.32</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200" w:firstLine="360"/>
              <w:rPr>
                <w:rFonts w:ascii="宋体" w:eastAsia="宋体" w:hAnsi="宋体" w:cs="宋体"/>
                <w:sz w:val="18"/>
                <w:szCs w:val="18"/>
              </w:rPr>
            </w:pPr>
            <w:r>
              <w:rPr>
                <w:rFonts w:ascii="宋体" w:eastAsia="宋体" w:hAnsi="宋体" w:cs="宋体"/>
                <w:sz w:val="18"/>
                <w:szCs w:val="18"/>
              </w:rPr>
              <w:t>少数股东权益影响额（税后）</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147,204.43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524,568.53</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bl>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其他符合非经常性损益定义的损益项目的具体情况：</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公司不存在其他符合非经常性损益定义的损益项目的具体情况。</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将《公开发行证券的公司信息披露解释性公告第1号——非经常性损益》中列举的非经常性损益项目界定为经常性损益项目的情况说明</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涉及金额（元）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原因</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7,279,653.99</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82499F" w:rsidP="0082499F">
            <w:pPr>
              <w:spacing w:line="240" w:lineRule="exact"/>
              <w:rPr>
                <w:rFonts w:ascii="宋体" w:eastAsia="宋体" w:hAnsi="宋体" w:cs="宋体"/>
                <w:sz w:val="18"/>
                <w:szCs w:val="18"/>
              </w:rPr>
            </w:pPr>
            <w:r>
              <w:rPr>
                <w:rFonts w:ascii="宋体" w:eastAsia="宋体" w:hAnsi="宋体" w:cs="宋体" w:hint="eastAsia"/>
                <w:kern w:val="0"/>
                <w:sz w:val="18"/>
                <w:szCs w:val="18"/>
              </w:rPr>
              <w:t>公司经营范围包括：创业投资；利用自有资产对外投资等。本期持有的交易性金融资产生的公允价值变动损益</w:t>
            </w:r>
            <w:r w:rsidR="00C26852">
              <w:rPr>
                <w:rFonts w:ascii="宋体" w:eastAsia="宋体" w:hAnsi="宋体" w:cs="宋体" w:hint="eastAsia"/>
                <w:kern w:val="0"/>
                <w:sz w:val="18"/>
                <w:szCs w:val="18"/>
              </w:rPr>
              <w:t>，</w:t>
            </w:r>
            <w:r>
              <w:rPr>
                <w:rFonts w:ascii="宋体" w:eastAsia="宋体" w:hAnsi="宋体" w:cs="宋体" w:hint="eastAsia"/>
                <w:kern w:val="0"/>
                <w:sz w:val="18"/>
                <w:szCs w:val="18"/>
              </w:rPr>
              <w:t>以及处置交易性金融资产和可供出售金融资产取得的投资收益均来自于公司及子公司，系公司的经常性损益。</w:t>
            </w:r>
          </w:p>
        </w:tc>
      </w:tr>
    </w:tbl>
    <w:p w:rsidR="00F068AD" w:rsidRDefault="00CB63CD">
      <w:r>
        <w:br w:type="page"/>
      </w:r>
    </w:p>
    <w:p w:rsidR="00F068AD" w:rsidRDefault="00CB63CD">
      <w:pPr>
        <w:pStyle w:val="headingh1"/>
        <w:spacing w:before="340" w:after="330" w:line="773" w:lineRule="exact"/>
        <w:jc w:val="center"/>
        <w:rPr>
          <w:rFonts w:ascii="宋体" w:eastAsia="宋体" w:hAnsi="宋体" w:cs="宋体"/>
          <w:b/>
          <w:bCs/>
          <w:sz w:val="32"/>
          <w:szCs w:val="32"/>
        </w:rPr>
      </w:pPr>
      <w:bookmarkStart w:id="13" w:name="_Toc988902"/>
      <w:r>
        <w:rPr>
          <w:rFonts w:ascii="宋体" w:eastAsia="宋体" w:hAnsi="宋体" w:cs="宋体"/>
          <w:b/>
          <w:bCs/>
          <w:sz w:val="32"/>
          <w:szCs w:val="32"/>
        </w:rPr>
        <w:lastRenderedPageBreak/>
        <w:t>第三节 管理层讨论与分析</w:t>
      </w:r>
      <w:bookmarkEnd w:id="13"/>
    </w:p>
    <w:p w:rsidR="00F068AD" w:rsidRDefault="00CB63CD">
      <w:pPr>
        <w:pStyle w:val="2"/>
        <w:spacing w:before="300" w:after="300" w:line="320" w:lineRule="exact"/>
        <w:rPr>
          <w:rFonts w:ascii="宋体" w:eastAsia="宋体" w:hAnsi="宋体" w:cs="宋体"/>
          <w:b/>
          <w:bCs/>
          <w:sz w:val="24"/>
          <w:szCs w:val="24"/>
        </w:rPr>
      </w:pPr>
      <w:bookmarkStart w:id="14" w:name="_Toc988903"/>
      <w:r>
        <w:rPr>
          <w:rFonts w:ascii="宋体" w:eastAsia="宋体" w:hAnsi="宋体" w:cs="宋体"/>
          <w:b/>
          <w:bCs/>
          <w:sz w:val="24"/>
          <w:szCs w:val="24"/>
        </w:rPr>
        <w:t>一、报告期内公司从事的主要业务</w:t>
      </w:r>
      <w:bookmarkEnd w:id="14"/>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t>（一）公司主要业务情况</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t>公司主要从事涤纶化纤的研发、生产和销售，石化物流仓储服务。</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t>1、涤纶化纤业务</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t>公司化纤产品主要为涤纶短纤维，主要产品包括水刺专用涤纶短纤维、半消光涤纶短纤维、有光涤纶短纤维、荧光增白涤纶短纤维等。其中，水刺专用涤纶短纤维主要应用于水刺、针刺等设备，最终产品被广泛应用到卫材、医疗和擦拭，汽车、过滤、皮革和工程基建等领域。半消光涤纶短纤维、有光涤纶短纤维、荧光增白涤纶短纤维主要用于纺织行业，单独纺纱或与棉、粘胶纤维、麻、毛、维纶等混纺，所得纱线用于服饰纺织、家装面料等。</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t>（1）采购模式</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t>公司涤纶化纤业务的主要大宗原材料是精对苯二甲酸和乙二醇。精对苯二甲酸的市场属于垄断市场，供应商的选择范围相对较小，供应商来源相对稳定。公司对原材料的采购通常是和生产厂家直接协商，选择有竞争力的供应商建立长期稳定的合作关系，在长期合作的基础上，选择签订年度合约价格方式。在现货市场采购中，通过现货点价模式作为补充。</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t>（2）生产模式</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t>化纤厂生产车间主要有6个，其中聚酯车间2个，纺丝车间4个。目前已形成年产各类涤纶短纤维产品40万吨的生产能力，引进德国吉玛公司的聚酯生产装置以及德国纽玛格公司的涤纶短纤维工艺流程，采用国际先进的纺线联合机，后牵伸联合机。聚酯生产中心采用JCS集散型控制系统，使聚酯生产实现了由计算机控制的自动化生产。短丝生产中心采用了DCS集散型电脑控制，可生产各种规格纺织类、非纺织类涤纶短纤维。</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t>涤纶短纤维的生产流程如下：备料（PTA+MEG）→打浆→酯化→缩聚→熔体输送→熔体过滤器→纺丝→卷绕→横动→原丝检验（化验室）→集束→牵伸→叠丝→蒸汽预热箱→卷曲→定型→切断机→检验（自检）→打包→成品检验→成品入库。</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t>（3）销售模式</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t>化纤厂的销售市场主要分为两大类，一类是针对传统纺织行业的客户市场，另一类是针对非织造行业。化纤厂的销售经营以市场为导向，同时兼顾出口政策和汇率变化，适时调整销售策略，追求可持续效益。在两大类市场的基础上，结合现有市场客户群及潜在客户群进行市场细分，对不同类别的客户采取不同的营销策略，化纤厂现有10条生产线，可以根据客户需求生产不同规格的产品。</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t>化纤厂的销售模式主要分为现货销售和长期合作销售。现货销售一单一结，长期合作销售是和稳定的客户以月初报价、按平均价月结的方式。化纤厂以直销为主，直销客户占比90%，经销商占比10%。</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t>化纤厂销售部主要分为内销、外贸和后台。内销负责国内市场的销售，外贸负责外国市场的开拓和销售，后台负责订单接收和内勤管理。化纤厂注重销售人员的培养，销售队伍稳定。公司销售部每年综合统计客户满意度并分析，提出相应的改进措施，以持续提高客户满意度。</w:t>
      </w:r>
    </w:p>
    <w:p w:rsidR="00CB63CD" w:rsidRDefault="007F01A4" w:rsidP="0002119E">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t>2020年10月</w:t>
      </w:r>
      <w:r w:rsidR="00CB63CD">
        <w:rPr>
          <w:rFonts w:cs="Times New Roman" w:hint="eastAsia"/>
          <w:sz w:val="18"/>
          <w:szCs w:val="18"/>
        </w:rPr>
        <w:t>，短</w:t>
      </w:r>
      <w:proofErr w:type="gramStart"/>
      <w:r w:rsidR="00CB63CD">
        <w:rPr>
          <w:rFonts w:cs="Times New Roman" w:hint="eastAsia"/>
          <w:sz w:val="18"/>
          <w:szCs w:val="18"/>
        </w:rPr>
        <w:t>纤</w:t>
      </w:r>
      <w:proofErr w:type="gramEnd"/>
      <w:r w:rsidR="00CB63CD">
        <w:rPr>
          <w:rFonts w:cs="Times New Roman" w:hint="eastAsia"/>
          <w:sz w:val="18"/>
          <w:szCs w:val="18"/>
        </w:rPr>
        <w:t>期货在郑</w:t>
      </w:r>
      <w:r>
        <w:rPr>
          <w:rFonts w:cs="Times New Roman" w:hint="eastAsia"/>
          <w:sz w:val="18"/>
          <w:szCs w:val="18"/>
        </w:rPr>
        <w:t>商</w:t>
      </w:r>
      <w:r w:rsidR="00CB63CD">
        <w:rPr>
          <w:rFonts w:cs="Times New Roman" w:hint="eastAsia"/>
          <w:sz w:val="18"/>
          <w:szCs w:val="18"/>
        </w:rPr>
        <w:t>所挂牌上市，公司积极合理利用期货工具，对企业库存保值，更合理地调节产品库存，盘活资金，预防一些市场的突发情况，稳定企业经营起到了效果。</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t>公司同时兼顾国内外市场，根据市场变化和消费导向适时调整销售策略注重打造企业品牌，连续多年获得“江苏省重点培育和发展的国际知名品牌”。</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ascii="Times New Roman" w:hAnsi="Times New Roman" w:cs="Times New Roman"/>
          <w:sz w:val="18"/>
          <w:szCs w:val="18"/>
        </w:rPr>
        <w:t> </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ascii="Times New Roman" w:hAnsi="Times New Roman" w:cs="Times New Roman"/>
          <w:sz w:val="18"/>
          <w:szCs w:val="18"/>
        </w:rPr>
        <w:t>2</w:t>
      </w:r>
      <w:r>
        <w:rPr>
          <w:rFonts w:cs="Times New Roman" w:hint="eastAsia"/>
          <w:sz w:val="18"/>
          <w:szCs w:val="18"/>
        </w:rPr>
        <w:t>、石化仓储业务</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lastRenderedPageBreak/>
        <w:t>公司的石化仓储业务主要由控股子公司华西码头开展。华西码头位于苏、锡、常化工企业中心区，紧邻长江、连京杭大运河，顺长江而上可直达长江中上游主要城市，地理位置优越，是长三角石化物流基地的重要国际港口口岸。华西码头仓储总容量达</w:t>
      </w:r>
      <w:r>
        <w:rPr>
          <w:rFonts w:ascii="Times New Roman" w:hAnsi="Times New Roman" w:cs="Times New Roman"/>
          <w:sz w:val="18"/>
          <w:szCs w:val="18"/>
        </w:rPr>
        <w:t>30</w:t>
      </w:r>
      <w:r>
        <w:rPr>
          <w:rFonts w:cs="Times New Roman" w:hint="eastAsia"/>
          <w:sz w:val="18"/>
          <w:szCs w:val="18"/>
        </w:rPr>
        <w:t>万立方米，可接卸苯类、醇类、酸类等五十多种化工品。经过多年的稳健发展和客户积累，华西码头目前已经成为长江中下游最为成熟的物流仓储企业之一。</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t>公司石化物流仓储业务主要为客户提供液态化工品的码头装卸、仓储、驳运中转、管道运输等服务。客户将其采购的化工品存储在公司的储罐中，公司为其提供仓储物流服务并收取服务费。</w:t>
      </w:r>
    </w:p>
    <w:p w:rsidR="00CB63CD" w:rsidRPr="0089503B" w:rsidRDefault="00CB63CD">
      <w:pPr>
        <w:pStyle w:val="a3"/>
        <w:spacing w:before="40" w:beforeAutospacing="0" w:after="40" w:afterAutospacing="0"/>
        <w:ind w:firstLine="360"/>
        <w:jc w:val="both"/>
        <w:divId w:val="271548098"/>
        <w:rPr>
          <w:rFonts w:asciiTheme="minorEastAsia" w:eastAsiaTheme="minorEastAsia" w:hAnsiTheme="minorEastAsia" w:cs="Times New Roman"/>
          <w:sz w:val="18"/>
          <w:szCs w:val="18"/>
        </w:rPr>
      </w:pPr>
      <w:r w:rsidRPr="0089503B">
        <w:rPr>
          <w:rFonts w:asciiTheme="minorEastAsia" w:eastAsiaTheme="minorEastAsia" w:hAnsiTheme="minorEastAsia" w:cs="Times New Roman" w:hint="eastAsia"/>
          <w:sz w:val="18"/>
          <w:szCs w:val="18"/>
        </w:rPr>
        <w:t>（</w:t>
      </w:r>
      <w:r w:rsidRPr="0089503B">
        <w:rPr>
          <w:rFonts w:asciiTheme="minorEastAsia" w:eastAsiaTheme="minorEastAsia" w:hAnsiTheme="minorEastAsia" w:cs="Times New Roman"/>
          <w:sz w:val="18"/>
          <w:szCs w:val="18"/>
        </w:rPr>
        <w:t>1</w:t>
      </w:r>
      <w:r w:rsidRPr="0089503B">
        <w:rPr>
          <w:rFonts w:asciiTheme="minorEastAsia" w:eastAsiaTheme="minorEastAsia" w:hAnsiTheme="minorEastAsia" w:cs="Times New Roman" w:hint="eastAsia"/>
          <w:sz w:val="18"/>
          <w:szCs w:val="18"/>
        </w:rPr>
        <w:t>）码头情况及罐区情况</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t>①码头情况</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t>华西码头自有一座</w:t>
      </w:r>
      <w:r>
        <w:rPr>
          <w:rFonts w:ascii="Times New Roman" w:hAnsi="Times New Roman" w:cs="Times New Roman"/>
          <w:sz w:val="18"/>
          <w:szCs w:val="18"/>
        </w:rPr>
        <w:t>5</w:t>
      </w:r>
      <w:r>
        <w:rPr>
          <w:rFonts w:cs="Times New Roman" w:hint="eastAsia"/>
          <w:sz w:val="18"/>
          <w:szCs w:val="18"/>
        </w:rPr>
        <w:t>万吨级液体化工品专用码头一座。码头配有2个2万吨级外轮泊位（兼靠5万吨级），外档可靠1条5万吨级外轮，或者同时停靠2个2万吨级外轮作业，另外拥有2个3,000吨级内轮泊位和2个500吨级内轮泊位。</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t>②罐区情况</w:t>
      </w:r>
    </w:p>
    <w:p w:rsidR="00CB63CD" w:rsidRPr="0089503B" w:rsidRDefault="00CB63CD">
      <w:pPr>
        <w:pStyle w:val="a3"/>
        <w:spacing w:before="40" w:beforeAutospacing="0" w:after="40" w:afterAutospacing="0"/>
        <w:ind w:firstLine="360"/>
        <w:jc w:val="both"/>
        <w:divId w:val="271548098"/>
        <w:rPr>
          <w:rFonts w:asciiTheme="minorEastAsia" w:eastAsiaTheme="minorEastAsia" w:hAnsiTheme="minorEastAsia" w:cs="Times New Roman"/>
          <w:sz w:val="18"/>
          <w:szCs w:val="18"/>
        </w:rPr>
      </w:pPr>
      <w:r w:rsidRPr="0089503B">
        <w:rPr>
          <w:rFonts w:asciiTheme="minorEastAsia" w:eastAsiaTheme="minorEastAsia" w:hAnsiTheme="minorEastAsia" w:cs="Times New Roman" w:hint="eastAsia"/>
          <w:sz w:val="18"/>
          <w:szCs w:val="18"/>
        </w:rPr>
        <w:t>华西码头现有</w:t>
      </w:r>
      <w:r w:rsidRPr="0089503B">
        <w:rPr>
          <w:rFonts w:asciiTheme="minorEastAsia" w:eastAsiaTheme="minorEastAsia" w:hAnsiTheme="minorEastAsia" w:cs="Times New Roman"/>
          <w:sz w:val="18"/>
          <w:szCs w:val="18"/>
        </w:rPr>
        <w:t>8</w:t>
      </w:r>
      <w:r w:rsidRPr="0089503B">
        <w:rPr>
          <w:rFonts w:asciiTheme="minorEastAsia" w:eastAsiaTheme="minorEastAsia" w:hAnsiTheme="minorEastAsia" w:cs="Times New Roman" w:hint="eastAsia"/>
          <w:sz w:val="18"/>
          <w:szCs w:val="18"/>
        </w:rPr>
        <w:t>个储罐区，共有储罐</w:t>
      </w:r>
      <w:r w:rsidRPr="0089503B">
        <w:rPr>
          <w:rFonts w:asciiTheme="minorEastAsia" w:eastAsiaTheme="minorEastAsia" w:hAnsiTheme="minorEastAsia" w:cs="Times New Roman"/>
          <w:sz w:val="18"/>
          <w:szCs w:val="18"/>
        </w:rPr>
        <w:t>89</w:t>
      </w:r>
      <w:r w:rsidRPr="0089503B">
        <w:rPr>
          <w:rFonts w:asciiTheme="minorEastAsia" w:eastAsiaTheme="minorEastAsia" w:hAnsiTheme="minorEastAsia" w:cs="Times New Roman" w:hint="eastAsia"/>
          <w:sz w:val="18"/>
          <w:szCs w:val="18"/>
        </w:rPr>
        <w:t>个，其中保税区储罐有14个，总罐容</w:t>
      </w:r>
      <w:r w:rsidRPr="0089503B">
        <w:rPr>
          <w:rFonts w:asciiTheme="minorEastAsia" w:eastAsiaTheme="minorEastAsia" w:hAnsiTheme="minorEastAsia" w:cs="Times New Roman"/>
          <w:sz w:val="18"/>
          <w:szCs w:val="18"/>
        </w:rPr>
        <w:t>30.48</w:t>
      </w:r>
      <w:r w:rsidRPr="0089503B">
        <w:rPr>
          <w:rFonts w:asciiTheme="minorEastAsia" w:eastAsiaTheme="minorEastAsia" w:hAnsiTheme="minorEastAsia" w:cs="Times New Roman" w:hint="eastAsia"/>
          <w:sz w:val="18"/>
          <w:szCs w:val="18"/>
        </w:rPr>
        <w:t>万立方米。报告期内，公司储罐数量和罐容未发生改变。目前储罐存储品种约</w:t>
      </w:r>
      <w:r w:rsidRPr="0089503B">
        <w:rPr>
          <w:rFonts w:asciiTheme="minorEastAsia" w:eastAsiaTheme="minorEastAsia" w:hAnsiTheme="minorEastAsia" w:cs="Times New Roman"/>
          <w:sz w:val="18"/>
          <w:szCs w:val="18"/>
        </w:rPr>
        <w:t>30</w:t>
      </w:r>
      <w:r w:rsidRPr="0089503B">
        <w:rPr>
          <w:rFonts w:asciiTheme="minorEastAsia" w:eastAsiaTheme="minorEastAsia" w:hAnsiTheme="minorEastAsia" w:cs="Times New Roman" w:hint="eastAsia"/>
          <w:sz w:val="18"/>
          <w:szCs w:val="18"/>
        </w:rPr>
        <w:t>个，主要包括苯乙烯、正丁醇、丙酮、苯酚、甲苯、甲甲酯、油品等。</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t>（</w:t>
      </w:r>
      <w:r>
        <w:rPr>
          <w:rFonts w:ascii="Times New Roman" w:hAnsi="Times New Roman" w:cs="Times New Roman"/>
          <w:sz w:val="18"/>
          <w:szCs w:val="18"/>
        </w:rPr>
        <w:t>2</w:t>
      </w:r>
      <w:r>
        <w:rPr>
          <w:rFonts w:cs="Times New Roman" w:hint="eastAsia"/>
          <w:sz w:val="18"/>
          <w:szCs w:val="18"/>
        </w:rPr>
        <w:t>）业务流程</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t>华西码头仓储业务分为装卸、仓储两部分，装卸业务指利用自有码头，为客户提供货物的装卸服务，收取装卸费；仓储业务指货物通过连接码头的专用管道输送至储罐，为客户提供货物仓储服务，收取仓储费。为使客户顺利办理通关手续，公司可为客户提供代办手续，同时收取一定的代理费。</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t>（</w:t>
      </w:r>
      <w:r>
        <w:rPr>
          <w:rFonts w:ascii="Times New Roman" w:hAnsi="Times New Roman" w:cs="Times New Roman"/>
          <w:sz w:val="18"/>
          <w:szCs w:val="18"/>
        </w:rPr>
        <w:t>3</w:t>
      </w:r>
      <w:r>
        <w:rPr>
          <w:rFonts w:cs="Times New Roman" w:hint="eastAsia"/>
          <w:sz w:val="18"/>
          <w:szCs w:val="18"/>
        </w:rPr>
        <w:t>）定价模式和结算方式</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t>华西码头的定价模式：①向客户收取首期保底基本费用，该基本收费按照储存30天的标准计价；超过30天后的时间按日标准收取仓储费。②长期客户以年度为单位签订长期合同，每月收取固定仓储费用。华西码头根据对市场的敏锐把握，基于自身的行业优势地位，采取了对公司较为有利的定价模式。</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t>华西码头按月计算应收客户仓储服务费，客户最迟必须在提货前支付完毕所有的费用。华西码头回款情况良好，账期较短，盈利质量较高，确保了公司的稳健经营。</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t>（</w:t>
      </w:r>
      <w:r>
        <w:rPr>
          <w:rFonts w:ascii="Times New Roman" w:hAnsi="Times New Roman" w:cs="Times New Roman"/>
          <w:sz w:val="18"/>
          <w:szCs w:val="18"/>
        </w:rPr>
        <w:t>4</w:t>
      </w:r>
      <w:r>
        <w:rPr>
          <w:rFonts w:cs="Times New Roman" w:hint="eastAsia"/>
          <w:sz w:val="18"/>
          <w:szCs w:val="18"/>
        </w:rPr>
        <w:t>）营销模式</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t>建立多渠道的市场信息网络，全面了解重点区域市场和客户情况、竞争对手的信息，采取多种手段推介公司信息，提高公司知名度和影响力。</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t>完善客户信息管理制度和售后服务，华西码头精耕市场，对客户群和市场进行了深入地细分。根据客户性质划分为不同销售类型，有的放矢地开发新客户。重视对老客户的维护工作，根据客户不同的需求，采取不同的销售策略和服务项目，以最大限度地满足客户需求。</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t>建立和实施灵活的定价模式，本着长期合作，利益共享，共同承担风险的原则，进一步稳定老客户，不断开发新客户。</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t> </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t>（二）公司报告期主要经营情况</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t>2022年半年度公司共实现营业收入147,739.10万元，较上年同期增长22.09%；实现营业利润12,984.08万元，较上年同期减少74.60%；实现归属于母公司所有者净利润9,872.81万元，较上年同期减少74.85%；经营活动产生的现金流量净额-9,245.09万元，较上年同期减少510.14%；每股收益0.11元，较上年同期减少75%；每股净资产5.73元，较年初增长1.42%；实现加权平均净资产收益率1.95%，较上年同期减少6.06个百分点。2022年半年度利润较上年同期减少的主要原因：1、化纤产品毛利率下降；2、公司持有的金融资产处置收益和公允价值变动收益同比减少。报告期主要经营情况如下：</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t>化纤业务：</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lastRenderedPageBreak/>
        <w:t>2022年上半年，国际国内形势异常严峻，给经济社会的发展带来了诸多不利影响，各行业细分产业链上的企业盈利能力受到较大冲击。从国际方面来看，俄乌局势刺激国际油价持续大涨，公司涤纶短纤维产品的主要原材料PTA、MEG价格也随之攀升，行业面临原材料成本高企的压力。从国内方面来看，新冠肺炎疫情的反复造成了消费端的疲软和物流端的不通畅，行业想要通过产品涨价去库存又没有足够的市场需求支撑，整个产业链的价格传导并不顺畅，物流端的不通畅又拉高了运输成本，不利因素叠加下，“高成本、高库存、低需求、低效益”是化纤行业内各企业面临的最大考验。</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t>报告期内，公司所在地区发生了一轮新冠肺炎疫情，面对来势汹汹的疫情，公司内部上下团结一致，强化环境消杀和核酸检测工作，关起门来搞发展，虽有</w:t>
      </w:r>
      <w:r w:rsidR="00476D8B">
        <w:rPr>
          <w:rFonts w:cs="Times New Roman" w:hint="eastAsia"/>
          <w:sz w:val="18"/>
          <w:szCs w:val="18"/>
        </w:rPr>
        <w:t>小</w:t>
      </w:r>
      <w:r>
        <w:rPr>
          <w:rFonts w:cs="Times New Roman" w:hint="eastAsia"/>
          <w:sz w:val="18"/>
          <w:szCs w:val="18"/>
        </w:rPr>
        <w:t>部分生产线停产，但对整体的生产经营影响有限，做到了企业发展和疫情防控的统筹兼顾，也为今后面对疫情防控常态化的挑战积累了宝贵经验。为应对严峻的外部市场环境，公司发挥在行业深耕多年的丰富经验，通过合理有效地把握采购与销售的节奏，利用相对低价位的原材料库存对冲市场风险，利用期现结合保证订单的稳定性和降库存的效率，保证了产销比的平稳。上半年受整个行业景气度不高，产业链利润受到挤压，化纤业务成本上升，盈利空间减少影响，公司涤纶短纤维产品毛利率为2.11%，较上年同期减少了7.79个百分点，化纤业务的经营业绩较上年同期有一定幅度的下降。主营产品涤纶短纤维销售量为188,018吨，较上年同期增长了2.93%；生产量182,524吨，较上年同期减少了6.44%；库存量为7,845吨，较年初减少了41.19%；实现销售收入13.35亿元，较上年同期增长了21.99%。</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t>报告期内，公司通过与设备商村田机械，客户英特斯、星京泽等合作开发了细旦涡流纺产品，同时满足纱线高速生产与产品性能提升，普通涡流纺用纤维在最新的870EX设备上实现纯涤535M/min产业化生产，打造了涡流纺涤纶短纤行业的第一品牌。目前该产品的销量也呈逐步递增趋势，由年初的3000吨/月增至4000吨/月。面对内外部环境的压力，公司将继续加强与下游客户的深层次合作，在保证产品质量和供应的同时，深度对接差异化产品开发、技术升级、产业链延伸等，实现产品与设备商、与客户的协同创新，同步升级。</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t>在产品标准化工作方面，公司参与起草、制定了多项国家、行业相关产品和方法标准制定工作，并荣获中国化学纤维工业协会颁发的“标准化创新单位”奖状。</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t> </w:t>
      </w:r>
    </w:p>
    <w:p w:rsidR="00CB63CD" w:rsidRDefault="00CB63CD">
      <w:pPr>
        <w:pStyle w:val="a3"/>
        <w:spacing w:before="40" w:beforeAutospacing="0" w:after="40" w:afterAutospacing="0"/>
        <w:ind w:firstLine="360"/>
        <w:jc w:val="both"/>
        <w:divId w:val="271548098"/>
        <w:rPr>
          <w:rFonts w:ascii="Times New Roman" w:hAnsi="Times New Roman" w:cs="Times New Roman"/>
          <w:sz w:val="18"/>
          <w:szCs w:val="18"/>
        </w:rPr>
      </w:pPr>
      <w:r>
        <w:rPr>
          <w:rFonts w:cs="Times New Roman" w:hint="eastAsia"/>
          <w:sz w:val="18"/>
          <w:szCs w:val="18"/>
        </w:rPr>
        <w:t>仓储业务：</w:t>
      </w:r>
    </w:p>
    <w:p w:rsidR="00C87F3B" w:rsidRDefault="00C87F3B" w:rsidP="00C87F3B">
      <w:pPr>
        <w:pStyle w:val="a3"/>
        <w:spacing w:before="40" w:beforeAutospacing="0" w:after="40" w:afterAutospacing="0"/>
        <w:ind w:firstLine="360"/>
        <w:jc w:val="both"/>
        <w:rPr>
          <w:rFonts w:ascii="Times New Roman" w:hAnsi="Times New Roman" w:cs="Times New Roman"/>
          <w:sz w:val="18"/>
          <w:szCs w:val="18"/>
        </w:rPr>
      </w:pPr>
      <w:bookmarkStart w:id="15" w:name="_Toc988904"/>
      <w:r>
        <w:rPr>
          <w:rFonts w:cs="Times New Roman" w:hint="eastAsia"/>
          <w:sz w:val="18"/>
          <w:szCs w:val="18"/>
        </w:rPr>
        <w:t>报告期内，华西码头努力克服新冠疫情对业务开展的影响，稳步高效推进各项工作，以大客户战略为指引，重点开拓生产型工厂和部分产品的大型分销商，目前华西码头前20名的客户营收占比已达约60%，形成了稳定的客户资源。通过产品结构调整及租赁方式优化，部分产品的仓储份额占行业仓储总量的50%以上，竞争优势明显，企业效益稳定增长。2022年上半年，港口码头进货总量118.95万吨，内贸船70.44万吨，外贸船29.17万吨，车进19.34万吨；实现营业收入12,045.75万元，较上年同期减少3.42%；实现净利润4,907.89万元，较上年同期增长0.19%。</w:t>
      </w:r>
    </w:p>
    <w:p w:rsidR="00C87F3B" w:rsidRDefault="00C87F3B" w:rsidP="00C87F3B">
      <w:pPr>
        <w:pStyle w:val="a3"/>
        <w:spacing w:before="40" w:beforeAutospacing="0" w:after="40" w:afterAutospacing="0"/>
        <w:ind w:firstLine="360"/>
        <w:jc w:val="both"/>
        <w:rPr>
          <w:rFonts w:ascii="Times New Roman" w:hAnsi="Times New Roman" w:cs="Times New Roman"/>
          <w:sz w:val="18"/>
          <w:szCs w:val="18"/>
        </w:rPr>
      </w:pPr>
      <w:r>
        <w:rPr>
          <w:rFonts w:cs="Times New Roman" w:hint="eastAsia"/>
          <w:sz w:val="18"/>
          <w:szCs w:val="18"/>
        </w:rPr>
        <w:t>华西码头将在港口码头运营智能化、信息化方面持续投入，实现“机械化换人、自动化减人、智能化无人”，不断提升企业的安全环保水平，为客户带来更便利快捷的优质服务。目前化工品仓储业务满库容周转，为解决不断增加的仓储需求，华西码头采取了在外租赁罐容的方式，也在积极寻找合适的相关港口码头资产，以不断提升业绩水平。</w:t>
      </w:r>
    </w:p>
    <w:p w:rsidR="00C87F3B" w:rsidRPr="00BC678D" w:rsidRDefault="00C87F3B" w:rsidP="00C87F3B">
      <w:pPr>
        <w:pStyle w:val="a3"/>
        <w:spacing w:before="40" w:beforeAutospacing="0" w:after="40" w:afterAutospacing="0"/>
        <w:ind w:firstLine="360"/>
        <w:jc w:val="both"/>
        <w:rPr>
          <w:rFonts w:cs="Times New Roman"/>
          <w:sz w:val="18"/>
          <w:szCs w:val="18"/>
        </w:rPr>
      </w:pPr>
    </w:p>
    <w:p w:rsidR="00F068AD" w:rsidRDefault="00CB63CD">
      <w:pPr>
        <w:pStyle w:val="2"/>
        <w:spacing w:before="300" w:after="300" w:line="320" w:lineRule="exact"/>
        <w:rPr>
          <w:rFonts w:ascii="宋体" w:eastAsia="宋体" w:hAnsi="宋体" w:cs="宋体"/>
          <w:b/>
          <w:bCs/>
          <w:sz w:val="24"/>
          <w:szCs w:val="24"/>
        </w:rPr>
      </w:pPr>
      <w:r>
        <w:rPr>
          <w:rFonts w:ascii="宋体" w:eastAsia="宋体" w:hAnsi="宋体" w:cs="宋体"/>
          <w:b/>
          <w:bCs/>
          <w:sz w:val="24"/>
          <w:szCs w:val="24"/>
        </w:rPr>
        <w:t>二、核心竞争力分析</w:t>
      </w:r>
      <w:bookmarkEnd w:id="15"/>
    </w:p>
    <w:p w:rsidR="00CB63CD" w:rsidRDefault="00CB63CD">
      <w:pPr>
        <w:pStyle w:val="a3"/>
        <w:spacing w:before="0" w:beforeAutospacing="0" w:after="0" w:afterAutospacing="0"/>
        <w:ind w:firstLine="360"/>
        <w:jc w:val="both"/>
        <w:divId w:val="2050762921"/>
      </w:pPr>
      <w:r>
        <w:rPr>
          <w:rFonts w:hint="eastAsia"/>
          <w:sz w:val="18"/>
          <w:szCs w:val="18"/>
        </w:rPr>
        <w:t>公司的核心竞争力主要体现在：</w:t>
      </w:r>
    </w:p>
    <w:p w:rsidR="00CB63CD" w:rsidRPr="0089503B" w:rsidRDefault="00CB63CD">
      <w:pPr>
        <w:pStyle w:val="a3"/>
        <w:spacing w:before="40" w:beforeAutospacing="0" w:after="40" w:afterAutospacing="0"/>
        <w:ind w:firstLine="360"/>
        <w:jc w:val="both"/>
        <w:divId w:val="2050762921"/>
        <w:rPr>
          <w:rFonts w:asciiTheme="minorEastAsia" w:eastAsiaTheme="minorEastAsia" w:hAnsiTheme="minorEastAsia"/>
        </w:rPr>
      </w:pPr>
      <w:r w:rsidRPr="0089503B">
        <w:rPr>
          <w:rFonts w:asciiTheme="minorEastAsia" w:eastAsiaTheme="minorEastAsia" w:hAnsiTheme="minorEastAsia" w:cs="Times New Roman"/>
          <w:sz w:val="18"/>
          <w:szCs w:val="18"/>
        </w:rPr>
        <w:t>1</w:t>
      </w:r>
      <w:r w:rsidRPr="0089503B">
        <w:rPr>
          <w:rFonts w:asciiTheme="minorEastAsia" w:eastAsiaTheme="minorEastAsia" w:hAnsiTheme="minorEastAsia" w:hint="eastAsia"/>
          <w:sz w:val="18"/>
          <w:szCs w:val="18"/>
        </w:rPr>
        <w:t>、品牌优势</w:t>
      </w:r>
    </w:p>
    <w:p w:rsidR="00CB63CD" w:rsidRPr="0089503B" w:rsidRDefault="00CB63CD">
      <w:pPr>
        <w:pStyle w:val="a3"/>
        <w:spacing w:before="40" w:beforeAutospacing="0" w:after="40" w:afterAutospacing="0"/>
        <w:ind w:firstLine="360"/>
        <w:jc w:val="both"/>
        <w:divId w:val="2050762921"/>
        <w:rPr>
          <w:rFonts w:asciiTheme="minorEastAsia" w:eastAsiaTheme="minorEastAsia" w:hAnsiTheme="minorEastAsia"/>
        </w:rPr>
      </w:pPr>
      <w:r w:rsidRPr="0089503B">
        <w:rPr>
          <w:rFonts w:asciiTheme="minorEastAsia" w:eastAsiaTheme="minorEastAsia" w:hAnsiTheme="minorEastAsia" w:hint="eastAsia"/>
          <w:sz w:val="18"/>
          <w:szCs w:val="18"/>
        </w:rPr>
        <w:t>经过多年的经营发展，“华西村”品牌已树立了诚信品牌形象，是值得信赖的品牌。华西化纤在涤纶短纤维市场拥有了一大批长期客户，保证了市场的稳定性，同时在产品价格上也形成了一定的优势。</w:t>
      </w:r>
    </w:p>
    <w:p w:rsidR="00CB63CD" w:rsidRPr="0089503B" w:rsidRDefault="00CB63CD">
      <w:pPr>
        <w:pStyle w:val="a3"/>
        <w:spacing w:before="40" w:beforeAutospacing="0" w:after="40" w:afterAutospacing="0"/>
        <w:ind w:firstLine="360"/>
        <w:jc w:val="both"/>
        <w:divId w:val="2050762921"/>
        <w:rPr>
          <w:rFonts w:asciiTheme="minorEastAsia" w:eastAsiaTheme="minorEastAsia" w:hAnsiTheme="minorEastAsia"/>
        </w:rPr>
      </w:pPr>
      <w:r w:rsidRPr="0089503B">
        <w:rPr>
          <w:rFonts w:asciiTheme="minorEastAsia" w:eastAsiaTheme="minorEastAsia" w:hAnsiTheme="minorEastAsia" w:cs="Times New Roman"/>
          <w:sz w:val="18"/>
          <w:szCs w:val="18"/>
        </w:rPr>
        <w:t>2</w:t>
      </w:r>
      <w:r w:rsidRPr="0089503B">
        <w:rPr>
          <w:rFonts w:asciiTheme="minorEastAsia" w:eastAsiaTheme="minorEastAsia" w:hAnsiTheme="minorEastAsia" w:hint="eastAsia"/>
          <w:sz w:val="18"/>
          <w:szCs w:val="18"/>
        </w:rPr>
        <w:t>、技术优势</w:t>
      </w:r>
    </w:p>
    <w:p w:rsidR="00CB63CD" w:rsidRPr="0089503B" w:rsidRDefault="00CB63CD">
      <w:pPr>
        <w:pStyle w:val="a3"/>
        <w:spacing w:before="40" w:beforeAutospacing="0" w:after="40" w:afterAutospacing="0"/>
        <w:ind w:firstLine="360"/>
        <w:jc w:val="both"/>
        <w:divId w:val="2050762921"/>
        <w:rPr>
          <w:rFonts w:asciiTheme="minorEastAsia" w:eastAsiaTheme="minorEastAsia" w:hAnsiTheme="minorEastAsia"/>
        </w:rPr>
      </w:pPr>
      <w:r w:rsidRPr="0089503B">
        <w:rPr>
          <w:rFonts w:asciiTheme="minorEastAsia" w:eastAsiaTheme="minorEastAsia" w:hAnsiTheme="minorEastAsia" w:hint="eastAsia"/>
          <w:sz w:val="18"/>
          <w:szCs w:val="18"/>
        </w:rPr>
        <w:t>公司拥有稳定专业的研发团队，拥有省级企业技术中心，博士后创新实践基地，拥有多项自主知识产权。近年来与国内外高校和科研院所开展产学研合作更加密切，并重视与下游企业特别是与品牌企业的联合开发，协同创新能力不断增强。</w:t>
      </w:r>
    </w:p>
    <w:p w:rsidR="00CB63CD" w:rsidRPr="0089503B" w:rsidRDefault="00CB63CD">
      <w:pPr>
        <w:pStyle w:val="a3"/>
        <w:spacing w:before="40" w:beforeAutospacing="0" w:after="40" w:afterAutospacing="0"/>
        <w:ind w:firstLine="360"/>
        <w:jc w:val="both"/>
        <w:divId w:val="2050762921"/>
        <w:rPr>
          <w:rFonts w:asciiTheme="minorEastAsia" w:eastAsiaTheme="minorEastAsia" w:hAnsiTheme="minorEastAsia"/>
        </w:rPr>
      </w:pPr>
      <w:r w:rsidRPr="0089503B">
        <w:rPr>
          <w:rFonts w:asciiTheme="minorEastAsia" w:eastAsiaTheme="minorEastAsia" w:hAnsiTheme="minorEastAsia" w:cs="Times New Roman"/>
          <w:sz w:val="18"/>
          <w:szCs w:val="18"/>
        </w:rPr>
        <w:lastRenderedPageBreak/>
        <w:t>3</w:t>
      </w:r>
      <w:r w:rsidRPr="0089503B">
        <w:rPr>
          <w:rFonts w:asciiTheme="minorEastAsia" w:eastAsiaTheme="minorEastAsia" w:hAnsiTheme="minorEastAsia" w:hint="eastAsia"/>
          <w:sz w:val="18"/>
          <w:szCs w:val="18"/>
        </w:rPr>
        <w:t>、产品优势</w:t>
      </w:r>
    </w:p>
    <w:p w:rsidR="00CB63CD" w:rsidRPr="0089503B" w:rsidRDefault="00CB63CD">
      <w:pPr>
        <w:pStyle w:val="a3"/>
        <w:spacing w:before="40" w:beforeAutospacing="0" w:after="40" w:afterAutospacing="0"/>
        <w:ind w:firstLine="360"/>
        <w:jc w:val="both"/>
        <w:divId w:val="2050762921"/>
        <w:rPr>
          <w:rFonts w:asciiTheme="minorEastAsia" w:eastAsiaTheme="minorEastAsia" w:hAnsiTheme="minorEastAsia"/>
        </w:rPr>
      </w:pPr>
      <w:r w:rsidRPr="0089503B">
        <w:rPr>
          <w:rFonts w:asciiTheme="minorEastAsia" w:eastAsiaTheme="minorEastAsia" w:hAnsiTheme="minorEastAsia" w:hint="eastAsia"/>
          <w:sz w:val="18"/>
          <w:szCs w:val="18"/>
        </w:rPr>
        <w:t>公司利用自身的设备优势和人才优势，成功地开发了市场高端的差别化产品，提高了产品的附加值，在差别化纤维领域处于领先地位，在一些差别化产品上有了定价权，提高了公司效益。</w:t>
      </w:r>
    </w:p>
    <w:p w:rsidR="00CB63CD" w:rsidRPr="0089503B" w:rsidRDefault="00CB63CD">
      <w:pPr>
        <w:pStyle w:val="a3"/>
        <w:spacing w:before="40" w:beforeAutospacing="0" w:after="40" w:afterAutospacing="0"/>
        <w:ind w:firstLine="360"/>
        <w:jc w:val="both"/>
        <w:divId w:val="2050762921"/>
        <w:rPr>
          <w:rFonts w:asciiTheme="minorEastAsia" w:eastAsiaTheme="minorEastAsia" w:hAnsiTheme="minorEastAsia"/>
        </w:rPr>
      </w:pPr>
      <w:r w:rsidRPr="0089503B">
        <w:rPr>
          <w:rFonts w:asciiTheme="minorEastAsia" w:eastAsiaTheme="minorEastAsia" w:hAnsiTheme="minorEastAsia" w:cs="Times New Roman"/>
          <w:sz w:val="18"/>
          <w:szCs w:val="18"/>
        </w:rPr>
        <w:t>4</w:t>
      </w:r>
      <w:r w:rsidRPr="0089503B">
        <w:rPr>
          <w:rFonts w:asciiTheme="minorEastAsia" w:eastAsiaTheme="minorEastAsia" w:hAnsiTheme="minorEastAsia" w:hint="eastAsia"/>
          <w:sz w:val="18"/>
          <w:szCs w:val="18"/>
        </w:rPr>
        <w:t>、资本优势</w:t>
      </w:r>
    </w:p>
    <w:p w:rsidR="00CB63CD" w:rsidRPr="0089503B" w:rsidRDefault="00CB63CD">
      <w:pPr>
        <w:pStyle w:val="a3"/>
        <w:spacing w:before="40" w:beforeAutospacing="0" w:after="40" w:afterAutospacing="0"/>
        <w:ind w:firstLine="360"/>
        <w:jc w:val="both"/>
        <w:divId w:val="2050762921"/>
        <w:rPr>
          <w:rFonts w:asciiTheme="minorEastAsia" w:eastAsiaTheme="minorEastAsia" w:hAnsiTheme="minorEastAsia"/>
        </w:rPr>
      </w:pPr>
      <w:r w:rsidRPr="0089503B">
        <w:rPr>
          <w:rFonts w:asciiTheme="minorEastAsia" w:eastAsiaTheme="minorEastAsia" w:hAnsiTheme="minorEastAsia" w:hint="eastAsia"/>
          <w:sz w:val="18"/>
          <w:szCs w:val="18"/>
        </w:rPr>
        <w:t>公司的传统产业为公司提供了稳健的资金积累，公司积极利用好资本优势，稳健运作，在市场价格变化中获取盈利机会，为公司战略实施奠定坚实的基础。</w:t>
      </w:r>
    </w:p>
    <w:p w:rsidR="00F068AD" w:rsidRDefault="00CB63CD">
      <w:pPr>
        <w:pStyle w:val="2"/>
        <w:spacing w:before="300" w:after="300" w:line="320" w:lineRule="exact"/>
        <w:rPr>
          <w:rFonts w:ascii="宋体" w:eastAsia="宋体" w:hAnsi="宋体" w:cs="宋体"/>
          <w:b/>
          <w:bCs/>
          <w:sz w:val="24"/>
          <w:szCs w:val="24"/>
        </w:rPr>
      </w:pPr>
      <w:bookmarkStart w:id="16" w:name="_Toc988905"/>
      <w:r>
        <w:rPr>
          <w:rFonts w:ascii="宋体" w:eastAsia="宋体" w:hAnsi="宋体" w:cs="宋体"/>
          <w:b/>
          <w:bCs/>
          <w:sz w:val="24"/>
          <w:szCs w:val="24"/>
        </w:rPr>
        <w:t>三、主营业务分析</w:t>
      </w:r>
      <w:bookmarkEnd w:id="16"/>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概述</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参见“一、报告期内公司从事的主要业务”相关内容。</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主要财务数据同比变动情况</w:t>
      </w:r>
    </w:p>
    <w:p w:rsidR="00F068AD" w:rsidRDefault="00CB63C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上年同期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同比增减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变动原因</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营业收入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1,477,391,014.14</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1,210,054,873.58</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22.09%</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营业成本</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1,368,836,046.51</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1,028,013,175.26</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33.15%</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6F35D3" w:rsidP="002A382D">
            <w:pPr>
              <w:spacing w:line="240" w:lineRule="exact"/>
              <w:rPr>
                <w:rFonts w:ascii="宋体" w:eastAsia="宋体" w:hAnsi="宋体" w:cs="宋体"/>
                <w:sz w:val="18"/>
                <w:szCs w:val="18"/>
              </w:rPr>
            </w:pPr>
            <w:r>
              <w:rPr>
                <w:rFonts w:hint="eastAsia"/>
                <w:color w:val="333333"/>
                <w:sz w:val="18"/>
                <w:szCs w:val="18"/>
                <w:shd w:val="clear" w:color="auto" w:fill="FFFFFF"/>
              </w:rPr>
              <w:t>主要</w:t>
            </w:r>
            <w:r w:rsidR="00640995">
              <w:rPr>
                <w:rFonts w:hint="eastAsia"/>
                <w:color w:val="333333"/>
                <w:sz w:val="18"/>
                <w:szCs w:val="18"/>
                <w:shd w:val="clear" w:color="auto" w:fill="FFFFFF"/>
              </w:rPr>
              <w:t>原因</w:t>
            </w:r>
            <w:r>
              <w:rPr>
                <w:rFonts w:hint="eastAsia"/>
                <w:color w:val="333333"/>
                <w:sz w:val="18"/>
                <w:szCs w:val="18"/>
                <w:shd w:val="clear" w:color="auto" w:fill="FFFFFF"/>
              </w:rPr>
              <w:t>是</w:t>
            </w:r>
            <w:r w:rsidR="002A382D">
              <w:rPr>
                <w:rFonts w:hint="eastAsia"/>
                <w:color w:val="333333"/>
                <w:sz w:val="18"/>
                <w:szCs w:val="18"/>
                <w:shd w:val="clear" w:color="auto" w:fill="FFFFFF"/>
              </w:rPr>
              <w:t>本期</w:t>
            </w:r>
            <w:r>
              <w:rPr>
                <w:rFonts w:hint="eastAsia"/>
                <w:color w:val="333333"/>
                <w:sz w:val="18"/>
                <w:szCs w:val="18"/>
                <w:shd w:val="clear" w:color="auto" w:fill="FFFFFF"/>
              </w:rPr>
              <w:t>原材料价格上涨。</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销售费用</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1,664,466.44</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769,422.20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116.33%</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主要原因是本期销售业务费比上年同期增加。</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管理费用</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27,431,689.66</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25,495,733.22</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7.59%</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财务费用</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11,561,698.54</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67,478,138.69</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-82.87%</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主要原因是上年同期公司持有应付债券和长期借款，而本年同期无此项，相应利息支出减少。</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所得税费用</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18,443,589.12</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106,590,916.22</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-82.70%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主要原因是本期利润总额减少影响本期所得税费用比上年同期减少。</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研发投入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4,752,549.66</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5,135,476.48</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-7.46%</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-92,450,866.83</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22,541,197.53</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-510.14%</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主要原因是本期支付的各项税费比上年同期增加。</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370,600,300.90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917,183,418.41</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-59.59%</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主要原因是本期处置交易性金融资产收到的资金比上年同期减少。</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-162,753,790.45</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-1,008,702,867.16</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83.87%</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主要原因是本期偿还债务支付的现金比上年同期减少。</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现金及现金等价物净增加额</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122,351,651.66</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-70,099,539.12</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274.54%</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主要原因是本期筹资活动产生的现金流量净额比上年同期增加。</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其他收益</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1,295,131.16</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758,800.10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70.68%</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主要原因是本期收到的政府补助款比上年同期增加。</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投资收益</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80,904,546.22</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178,522,205.66</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-54.68%</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主要原因是本期处置交易性金融资产取得的投资收益比上年同</w:t>
            </w:r>
            <w:r>
              <w:rPr>
                <w:rFonts w:ascii="宋体" w:eastAsia="宋体" w:hAnsi="宋体" w:cs="宋体"/>
                <w:sz w:val="18"/>
                <w:szCs w:val="18"/>
              </w:rPr>
              <w:lastRenderedPageBreak/>
              <w:t>期减少。</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lastRenderedPageBreak/>
              <w:t>公允价值变动收益</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-7,728,357.75</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251,213,439.66</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-103.08%</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主要原因是本期持有的金融资产产生的公允价值变动收益比上年同期持有的金融资产产生的公允价值变动收益减少。</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信用减值损失</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-3,529,971.10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3,445,316.01</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-202.46%</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主要原因是本期计提的坏账准备比上年同期增加。</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营业外支出</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626,133.88</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100,010.05</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526.07%</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主要原因是本期对外捐赠款比上年同期增加。</w:t>
            </w:r>
          </w:p>
        </w:tc>
      </w:tr>
    </w:tbl>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公司报告期利润构成或利润来源发生重大变动</w:t>
      </w:r>
    </w:p>
    <w:p w:rsidR="00C627C2" w:rsidRDefault="00C627C2" w:rsidP="00C627C2">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公司报告期利润构成或利润来源没有发生重大变动。</w:t>
      </w:r>
    </w:p>
    <w:p w:rsidR="00C627C2" w:rsidRPr="00C627C2" w:rsidRDefault="00C627C2">
      <w:pPr>
        <w:spacing w:before="100" w:after="100" w:line="240" w:lineRule="exact"/>
        <w:rPr>
          <w:rFonts w:ascii="宋体" w:eastAsia="宋体" w:hAnsi="宋体" w:cs="宋体"/>
          <w:sz w:val="18"/>
          <w:szCs w:val="18"/>
        </w:rPr>
      </w:pP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营业收入构成</w:t>
      </w:r>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7"/>
        <w:gridCol w:w="1606"/>
        <w:gridCol w:w="1607"/>
        <w:gridCol w:w="1607"/>
      </w:tblGrid>
      <w:tr w:rsidR="00F068AD">
        <w:trPr>
          <w:trHeight w:val="240"/>
        </w:trPr>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上年同期</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同比增减</w:t>
            </w:r>
          </w:p>
        </w:tc>
      </w:tr>
      <w:tr w:rsidR="00F068AD">
        <w:trPr>
          <w:trHeight w:val="240"/>
        </w:trPr>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这是文本内容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占营业收入比重</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占营业收入比重</w:t>
            </w:r>
          </w:p>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这是文本内容</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营业收入合计</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1,477,391,014.14</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right"/>
              <w:rPr>
                <w:rFonts w:ascii="宋体" w:eastAsia="宋体" w:hAnsi="宋体" w:cs="宋体"/>
                <w:sz w:val="18"/>
                <w:szCs w:val="18"/>
                <w:shd w:val="clear" w:color="auto" w:fill="D3D3D3"/>
              </w:rPr>
            </w:pPr>
            <w:r>
              <w:rPr>
                <w:rFonts w:ascii="宋体" w:eastAsia="宋体" w:hAnsi="宋体" w:cs="宋体"/>
                <w:sz w:val="18"/>
                <w:szCs w:val="18"/>
                <w:shd w:val="clear" w:color="auto" w:fill="D3D3D3"/>
              </w:rPr>
              <w:t>100%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1,210,054,873.58</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right"/>
              <w:rPr>
                <w:rFonts w:ascii="宋体" w:eastAsia="宋体" w:hAnsi="宋体" w:cs="宋体"/>
                <w:sz w:val="18"/>
                <w:szCs w:val="18"/>
                <w:shd w:val="clear" w:color="auto" w:fill="D3D3D3"/>
              </w:rPr>
            </w:pPr>
            <w:r>
              <w:rPr>
                <w:rFonts w:ascii="宋体" w:eastAsia="宋体" w:hAnsi="宋体" w:cs="宋体"/>
                <w:sz w:val="18"/>
                <w:szCs w:val="18"/>
                <w:shd w:val="clear" w:color="auto" w:fill="D3D3D3"/>
              </w:rPr>
              <w:t>100%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22.09%</w:t>
            </w:r>
          </w:p>
        </w:tc>
      </w:tr>
      <w:tr w:rsidR="00F068AD">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分行业</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纺织化纤</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1,339,062,142.41</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90.64%</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1,102,429,026.02</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91.11%</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21.46%</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仓储</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106,355,750.51</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7.20%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101,452,770.42</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8.38%</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4.83%</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其他业务收入</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31,973,121.22</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2.16%</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6,173,077.14</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0.51%</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417.94%</w:t>
            </w:r>
          </w:p>
        </w:tc>
      </w:tr>
      <w:tr w:rsidR="00F068AD">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分产品</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涤纶短纤维</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1,335,099,831.70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90.37%</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1,094,391,566.17</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90.44%</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21.99%</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仓储</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106,355,750.51</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7.20%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101,452,770.42</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8.38%</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4.83%</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其他产品</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3,962,310.71</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0.27%</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8,037,459.85</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0.67%</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-50.70%</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其他业务</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31,973,121.22</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2.16%</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6,173,077.14</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0.51%</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417.94%</w:t>
            </w:r>
          </w:p>
        </w:tc>
      </w:tr>
      <w:tr w:rsidR="00F068AD">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分地区</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华东</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811,946,468.83</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54.96%</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668,123,150.82</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55.22%</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21.53%</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华北</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329,661,398.36</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22.31%</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200,406,441.49</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16.56%</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64.50%</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华中</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69,702,799.92</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4.72%</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108,891,262.69</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9.00%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-35.99%</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华南</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36,278,935.42</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2.46%</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15,383,597.45</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1.27%</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135.83%</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229,801,411.61</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15.55%</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217,250,421.13</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17.95%</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5.78%</w:t>
            </w:r>
          </w:p>
        </w:tc>
      </w:tr>
    </w:tbl>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占公司营业收入或营业利润10%以上的行业、产品或地区情况</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F068AD" w:rsidRDefault="00CB63C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F068A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毛利率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营业收入比上年同期增减</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营业成本比上年同期增减</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毛利率比上年同期增减</w:t>
            </w:r>
          </w:p>
        </w:tc>
      </w:tr>
      <w:tr w:rsidR="00F068AD">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分行业</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纺织化纤</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1,339,062,142.41</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1,311,065,639.23</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2.09%</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21.46%</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31.77%</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-7.66%</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仓储</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106,355,750.51</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27,872,216.85</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73.79%</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4.83%</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7.16%</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-0.57%</w:t>
            </w:r>
          </w:p>
        </w:tc>
      </w:tr>
      <w:tr w:rsidR="00F068AD">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分产品</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涤纶短纤维</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1,335,099,831.70</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1,306,904,914.24</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2.11%</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21.99%</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32.55%</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-7.79%</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仓储</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106,355,750.51</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27,872,216.85</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73.79%</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4.83%</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7.16%</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-0.57%</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其他产品</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3,962,310.71</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4,160,724.99</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-5.01%</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-50.70%</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-53.50%</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-41.43%</w:t>
            </w:r>
          </w:p>
        </w:tc>
      </w:tr>
      <w:tr w:rsidR="00F068AD">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分地区</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华东</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779,973,347.61</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679,538,571.61</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12.88%</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17.83%</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28.75%</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-7.39%</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华北</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329,661,398.36</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320,832,107.70</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2.68%</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64.50%</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81.76%</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-9.24%</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华中</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69,702,799.92</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67,052,276.08</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3.80%</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-35.99%</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-28.94%</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-9.54%</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华南</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36,278,935.42</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35,431,952.96</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2.33%</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135.83%</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159.93%</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-9.06%</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229,801,411.61</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236,082,947.73</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-2.73%</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5.78%</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13.14%</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-6.68%</w:t>
            </w:r>
          </w:p>
        </w:tc>
      </w:tr>
    </w:tbl>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公司主营业务数据统计口径在报告期发生调整的情况下，公司最近1期按报告期末口径调整后的主营业务数据</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100" w:after="40" w:line="240" w:lineRule="exact"/>
        <w:rPr>
          <w:rFonts w:ascii="宋体" w:eastAsia="宋体" w:hAnsi="宋体" w:cs="宋体"/>
          <w:sz w:val="18"/>
          <w:szCs w:val="18"/>
        </w:rPr>
      </w:pPr>
      <w:r>
        <w:rPr>
          <w:rFonts w:ascii="宋体" w:eastAsia="宋体" w:hAnsi="宋体" w:cs="宋体"/>
          <w:sz w:val="18"/>
          <w:szCs w:val="18"/>
        </w:rPr>
        <w:t>相关数据同比发生变动30%以上的原因说明</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pStyle w:val="2"/>
        <w:spacing w:before="300" w:after="300" w:line="320" w:lineRule="exact"/>
        <w:rPr>
          <w:rFonts w:ascii="宋体" w:eastAsia="宋体" w:hAnsi="宋体" w:cs="宋体"/>
          <w:b/>
          <w:bCs/>
          <w:sz w:val="24"/>
          <w:szCs w:val="24"/>
        </w:rPr>
      </w:pPr>
      <w:bookmarkStart w:id="17" w:name="_Toc988906"/>
      <w:r>
        <w:rPr>
          <w:rFonts w:ascii="宋体" w:eastAsia="宋体" w:hAnsi="宋体" w:cs="宋体"/>
          <w:b/>
          <w:bCs/>
          <w:sz w:val="24"/>
          <w:szCs w:val="24"/>
        </w:rPr>
        <w:t>四、非主营业务分析</w:t>
      </w:r>
      <w:bookmarkEnd w:id="17"/>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pStyle w:val="2"/>
        <w:spacing w:before="300" w:after="300" w:line="320" w:lineRule="exact"/>
        <w:rPr>
          <w:rFonts w:ascii="宋体" w:eastAsia="宋体" w:hAnsi="宋体" w:cs="宋体"/>
          <w:b/>
          <w:bCs/>
          <w:sz w:val="24"/>
          <w:szCs w:val="24"/>
        </w:rPr>
      </w:pPr>
      <w:bookmarkStart w:id="18" w:name="_Toc988907"/>
      <w:r>
        <w:rPr>
          <w:rFonts w:ascii="宋体" w:eastAsia="宋体" w:hAnsi="宋体" w:cs="宋体"/>
          <w:b/>
          <w:bCs/>
          <w:sz w:val="24"/>
          <w:szCs w:val="24"/>
        </w:rPr>
        <w:t>五、资产及负债状况分析</w:t>
      </w:r>
      <w:bookmarkEnd w:id="18"/>
    </w:p>
    <w:p w:rsidR="00F068AD" w:rsidRDefault="00CB63CD">
      <w:pPr>
        <w:pStyle w:val="3"/>
        <w:spacing w:line="280" w:lineRule="exact"/>
        <w:jc w:val="left"/>
        <w:rPr>
          <w:rFonts w:ascii="宋体" w:hAnsi="宋体" w:cs="宋体"/>
          <w:b/>
          <w:bCs/>
        </w:rPr>
      </w:pPr>
      <w:bookmarkStart w:id="19" w:name="_Toc988908"/>
      <w:r>
        <w:rPr>
          <w:rFonts w:ascii="宋体" w:hAnsi="宋体" w:cs="宋体"/>
          <w:b/>
          <w:bCs/>
        </w:rPr>
        <w:t>1、资产构成重大变动情况</w:t>
      </w:r>
      <w:bookmarkEnd w:id="19"/>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020"/>
        <w:gridCol w:w="1734"/>
      </w:tblGrid>
      <w:tr w:rsidR="00F068AD" w:rsidTr="001C7791">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本报告期末</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上年末</w:t>
            </w:r>
          </w:p>
        </w:tc>
        <w:tc>
          <w:tcPr>
            <w:tcW w:w="102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比重增减</w:t>
            </w:r>
          </w:p>
        </w:tc>
        <w:tc>
          <w:tcPr>
            <w:tcW w:w="17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重大变动说明</w:t>
            </w:r>
          </w:p>
        </w:tc>
      </w:tr>
      <w:tr w:rsidR="00F068AD" w:rsidTr="001C7791">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占总资产比例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占总资产比例</w:t>
            </w:r>
          </w:p>
        </w:tc>
        <w:tc>
          <w:tcPr>
            <w:tcW w:w="102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73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rsidTr="001C7791">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772,630,822.13</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11.71%</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596,014,660.45</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8.87%</w:t>
            </w:r>
          </w:p>
        </w:tc>
        <w:tc>
          <w:tcPr>
            <w:tcW w:w="10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2.84%</w:t>
            </w:r>
          </w:p>
        </w:tc>
        <w:tc>
          <w:tcPr>
            <w:tcW w:w="173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r>
      <w:tr w:rsidR="00F068AD" w:rsidTr="001C7791">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应收账款</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171,411,518.70</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2.60%</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107,657,700.49</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1.60%</w:t>
            </w:r>
          </w:p>
        </w:tc>
        <w:tc>
          <w:tcPr>
            <w:tcW w:w="10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w:t>
            </w:r>
          </w:p>
        </w:tc>
        <w:tc>
          <w:tcPr>
            <w:tcW w:w="173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应收账款期末余额较年初数增加了59.22%，主要原因是期末应收的化纤出口销售货款增加。</w:t>
            </w:r>
          </w:p>
        </w:tc>
      </w:tr>
      <w:tr w:rsidR="00F068AD" w:rsidTr="001C7791">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存货</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130,621,551.95</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1.98%</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227,933,501.48</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3.39%</w:t>
            </w:r>
          </w:p>
        </w:tc>
        <w:tc>
          <w:tcPr>
            <w:tcW w:w="10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-1.41%</w:t>
            </w:r>
          </w:p>
        </w:tc>
        <w:tc>
          <w:tcPr>
            <w:tcW w:w="1734" w:type="dxa"/>
            <w:tcBorders>
              <w:top w:val="single" w:sz="2" w:space="0" w:color="auto"/>
              <w:left w:val="single" w:sz="2" w:space="0" w:color="auto"/>
              <w:bottom w:val="single" w:sz="2" w:space="0" w:color="auto"/>
              <w:right w:val="single" w:sz="2" w:space="0" w:color="auto"/>
            </w:tcBorders>
            <w:vAlign w:val="center"/>
          </w:tcPr>
          <w:p w:rsidR="00F068AD" w:rsidRDefault="00CB63CD" w:rsidP="0028314F">
            <w:pPr>
              <w:spacing w:line="240" w:lineRule="exact"/>
              <w:rPr>
                <w:rFonts w:ascii="宋体" w:eastAsia="宋体" w:hAnsi="宋体" w:cs="宋体"/>
                <w:sz w:val="18"/>
                <w:szCs w:val="18"/>
              </w:rPr>
            </w:pPr>
            <w:r>
              <w:rPr>
                <w:rFonts w:ascii="宋体" w:eastAsia="宋体" w:hAnsi="宋体" w:cs="宋体"/>
                <w:sz w:val="18"/>
                <w:szCs w:val="18"/>
              </w:rPr>
              <w:t>存货期末余额较年初数减少了42.69%，主要原因是化纤期末库存的原材料减少。</w:t>
            </w:r>
          </w:p>
        </w:tc>
      </w:tr>
      <w:tr w:rsidR="00F068AD" w:rsidTr="001C7791">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长期股权投资</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3,548,489,277.59</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53.77%</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3,541,409,576.43</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52.67%</w:t>
            </w:r>
          </w:p>
        </w:tc>
        <w:tc>
          <w:tcPr>
            <w:tcW w:w="10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1.10%</w:t>
            </w:r>
          </w:p>
        </w:tc>
        <w:tc>
          <w:tcPr>
            <w:tcW w:w="173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r>
      <w:tr w:rsidR="00F068AD" w:rsidTr="001C7791">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固定资产</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404,587,735.07</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6.13%</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422,883,986.83</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6.29%</w:t>
            </w:r>
          </w:p>
        </w:tc>
        <w:tc>
          <w:tcPr>
            <w:tcW w:w="10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-0.16%</w:t>
            </w:r>
          </w:p>
        </w:tc>
        <w:tc>
          <w:tcPr>
            <w:tcW w:w="173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r>
      <w:tr w:rsidR="00F068AD" w:rsidTr="001C7791">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在建工程</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77,137,658.38</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1.17%</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55,001,809.08</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0.82%</w:t>
            </w:r>
          </w:p>
        </w:tc>
        <w:tc>
          <w:tcPr>
            <w:tcW w:w="10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0.35%</w:t>
            </w:r>
          </w:p>
        </w:tc>
        <w:tc>
          <w:tcPr>
            <w:tcW w:w="173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在建工程期末余额较年初数增加了</w:t>
            </w:r>
            <w:r>
              <w:rPr>
                <w:rFonts w:ascii="宋体" w:eastAsia="宋体" w:hAnsi="宋体" w:cs="宋体"/>
                <w:sz w:val="18"/>
                <w:szCs w:val="18"/>
              </w:rPr>
              <w:lastRenderedPageBreak/>
              <w:t>40.25%，主要原因是本期增加了聚酯车间的技改投入。</w:t>
            </w:r>
          </w:p>
        </w:tc>
      </w:tr>
      <w:tr w:rsidR="00F068AD" w:rsidTr="001C7791">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短期借款</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1,029,859,513.89</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15.61%</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1,080,884,129.07</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16.08%</w:t>
            </w:r>
          </w:p>
        </w:tc>
        <w:tc>
          <w:tcPr>
            <w:tcW w:w="10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-0.47%</w:t>
            </w:r>
          </w:p>
        </w:tc>
        <w:tc>
          <w:tcPr>
            <w:tcW w:w="173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r>
      <w:tr w:rsidR="00F068AD" w:rsidTr="001C7791">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合同负债</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86,926,526.83</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1.32%</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77,503,569.97</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1.15%</w:t>
            </w:r>
          </w:p>
        </w:tc>
        <w:tc>
          <w:tcPr>
            <w:tcW w:w="10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0.17%</w:t>
            </w:r>
          </w:p>
        </w:tc>
        <w:tc>
          <w:tcPr>
            <w:tcW w:w="173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r>
      <w:tr w:rsidR="00F068AD" w:rsidTr="001C7791">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交易性金融资产</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410,786,826.55</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6.22%</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754,949,214.92</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11.23%</w:t>
            </w:r>
          </w:p>
        </w:tc>
        <w:tc>
          <w:tcPr>
            <w:tcW w:w="10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-5.01%</w:t>
            </w:r>
          </w:p>
        </w:tc>
        <w:tc>
          <w:tcPr>
            <w:tcW w:w="173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交易性金融资产期末余额较年初数减少了45.59%，主要原因是本期处置了部分江苏银行股票和赎回了银行理财产品。</w:t>
            </w:r>
          </w:p>
        </w:tc>
      </w:tr>
      <w:tr w:rsidR="00F068AD" w:rsidTr="001C7791">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预付款项</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70,905,154.94</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1.07%</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12,036,075.10</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0.18%</w:t>
            </w:r>
          </w:p>
        </w:tc>
        <w:tc>
          <w:tcPr>
            <w:tcW w:w="10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0.89%</w:t>
            </w:r>
          </w:p>
        </w:tc>
        <w:tc>
          <w:tcPr>
            <w:tcW w:w="173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预付款项期末余额较年初数增加了489.11%，主要原因是期末预付的化纤原材料款增加。</w:t>
            </w:r>
          </w:p>
        </w:tc>
      </w:tr>
      <w:tr w:rsidR="00F068AD" w:rsidTr="001C7791">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其他应收款</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55,391,963.58</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0.84%</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1,113,807.69</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0.02%</w:t>
            </w:r>
          </w:p>
        </w:tc>
        <w:tc>
          <w:tcPr>
            <w:tcW w:w="10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0.82%</w:t>
            </w:r>
          </w:p>
        </w:tc>
        <w:tc>
          <w:tcPr>
            <w:tcW w:w="173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其他应收款期末余额较年初数增加了5,427.82万元，主要原因是期末增加了被投资单位宣告发放但公司尚未收到的股利分配款5,441.22万元。</w:t>
            </w:r>
          </w:p>
        </w:tc>
      </w:tr>
      <w:tr w:rsidR="00F068AD" w:rsidTr="001C7791">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其他流动资产</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7,263,374.33</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0.11%</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16,235,685.15</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0.24%</w:t>
            </w:r>
          </w:p>
        </w:tc>
        <w:tc>
          <w:tcPr>
            <w:tcW w:w="10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-0.13%</w:t>
            </w:r>
          </w:p>
        </w:tc>
        <w:tc>
          <w:tcPr>
            <w:tcW w:w="173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其他流动资产期末余额较年初数减少了55.26%，主要原因是期末增值税的留抵税额减少。</w:t>
            </w:r>
          </w:p>
        </w:tc>
      </w:tr>
      <w:tr w:rsidR="00F068AD" w:rsidTr="001C7791">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预收款项</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4,752,930.99</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0.07%</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3,254,312.14</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0.05%</w:t>
            </w:r>
          </w:p>
        </w:tc>
        <w:tc>
          <w:tcPr>
            <w:tcW w:w="10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0.02%</w:t>
            </w:r>
          </w:p>
        </w:tc>
        <w:tc>
          <w:tcPr>
            <w:tcW w:w="173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预收款项期末余额较年初数增加了46.05%，主要原因是期末预收的仓储款增加。</w:t>
            </w:r>
          </w:p>
        </w:tc>
      </w:tr>
      <w:tr w:rsidR="00F068AD" w:rsidTr="001C7791">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应交税费</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27,448,324.62</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0.42%</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217,891,257.76</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3.24%</w:t>
            </w:r>
          </w:p>
        </w:tc>
        <w:tc>
          <w:tcPr>
            <w:tcW w:w="10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-2.82%</w:t>
            </w:r>
          </w:p>
        </w:tc>
        <w:tc>
          <w:tcPr>
            <w:tcW w:w="173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应交税费期末余额较年初数减少了87.40%，主要原因是期末应交所得税减少。</w:t>
            </w:r>
          </w:p>
        </w:tc>
      </w:tr>
      <w:tr w:rsidR="00F068AD" w:rsidTr="001C7791">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其他应付款</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44,999,435.93</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0.68%</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81,108.60</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0.68%</w:t>
            </w:r>
          </w:p>
        </w:tc>
        <w:tc>
          <w:tcPr>
            <w:tcW w:w="173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其他应付款期末余额较年初数增加了4,491.83万元，主要原因是期末增加了应付普通股股利4,430.06万元。</w:t>
            </w:r>
          </w:p>
        </w:tc>
      </w:tr>
      <w:tr w:rsidR="00F068AD" w:rsidTr="001C7791">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其他综合收益</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8,031,032.65</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0.12%</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-229,378.59</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0.12%</w:t>
            </w:r>
          </w:p>
        </w:tc>
        <w:tc>
          <w:tcPr>
            <w:tcW w:w="173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其他综合收益期末余额较年初数增加了3601.21%，主要原因是期末权益法下在被投资单位以后将重分类进损益的其他综合收益中享有的份额增加。</w:t>
            </w:r>
          </w:p>
        </w:tc>
      </w:tr>
    </w:tbl>
    <w:p w:rsidR="00F068AD" w:rsidRDefault="00CB63CD">
      <w:pPr>
        <w:pStyle w:val="3"/>
        <w:spacing w:line="280" w:lineRule="exact"/>
        <w:jc w:val="left"/>
        <w:rPr>
          <w:rFonts w:ascii="宋体" w:hAnsi="宋体" w:cs="宋体"/>
          <w:b/>
          <w:bCs/>
        </w:rPr>
      </w:pPr>
      <w:bookmarkStart w:id="20" w:name="_Toc988909"/>
      <w:r>
        <w:rPr>
          <w:rFonts w:ascii="宋体" w:hAnsi="宋体" w:cs="宋体"/>
          <w:b/>
          <w:bCs/>
        </w:rPr>
        <w:lastRenderedPageBreak/>
        <w:t>2、主要境外资产情况</w:t>
      </w:r>
      <w:bookmarkEnd w:id="20"/>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F068AD">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资产的具体内容</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形成原因</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资产规模</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所在地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运营模式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保障资产安全性的控制措施</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收益状况</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境外资产占公司净资产的比重</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是否存在重大减值风险</w:t>
            </w:r>
          </w:p>
        </w:tc>
      </w:tr>
      <w:tr w:rsidR="00F068AD">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Venus Pearl SPV2 Co Limited28.17%的股权</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资产收购</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98,420.04万元</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开曼群岛</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326098">
            <w:pPr>
              <w:spacing w:line="240" w:lineRule="exact"/>
              <w:rPr>
                <w:rFonts w:ascii="宋体" w:eastAsia="宋体" w:hAnsi="宋体" w:cs="宋体"/>
                <w:sz w:val="18"/>
                <w:szCs w:val="18"/>
              </w:rPr>
            </w:pPr>
            <w:r>
              <w:rPr>
                <w:rFonts w:hint="eastAsia"/>
                <w:color w:val="333333"/>
                <w:sz w:val="18"/>
                <w:szCs w:val="18"/>
                <w:shd w:val="clear" w:color="auto" w:fill="FFFFFF"/>
              </w:rPr>
              <w:t>垂直整合制造</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公司将定期取得并审阅索尔思光电财务报告，及时了解其生产经营发展情况，确保公司资产的安全。</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1,493.43万元</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19.40%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否</w:t>
            </w:r>
          </w:p>
        </w:tc>
      </w:tr>
    </w:tbl>
    <w:p w:rsidR="00F068AD" w:rsidRDefault="00CB63CD">
      <w:pPr>
        <w:pStyle w:val="3"/>
        <w:spacing w:line="280" w:lineRule="exact"/>
        <w:jc w:val="left"/>
        <w:rPr>
          <w:rFonts w:ascii="宋体" w:hAnsi="宋体" w:cs="宋体"/>
          <w:b/>
          <w:bCs/>
        </w:rPr>
      </w:pPr>
      <w:bookmarkStart w:id="21" w:name="_Toc988910"/>
      <w:r>
        <w:rPr>
          <w:rFonts w:ascii="宋体" w:hAnsi="宋体" w:cs="宋体"/>
          <w:b/>
          <w:bCs/>
        </w:rPr>
        <w:t>3、以公允价值计量的资产和负债</w:t>
      </w:r>
      <w:bookmarkEnd w:id="21"/>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F068AD" w:rsidRDefault="00CB63C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F068AD">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本期公允价值变动损益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计入权益的累计公允价值变动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本期计提的减值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本期购买金额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本期出售金额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其他变动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期末数</w:t>
            </w:r>
          </w:p>
        </w:tc>
      </w:tr>
      <w:tr w:rsidR="00F068AD">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金融资产</w:t>
            </w:r>
          </w:p>
        </w:tc>
        <w:tc>
          <w:tcPr>
            <w:tcW w:w="8568"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1.交易性金融资产（不含衍生金融资产）</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754,949,214.92</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-7,728,357.75</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410,786,826.55</w:t>
            </w:r>
          </w:p>
        </w:tc>
      </w:tr>
      <w:tr w:rsidR="00F068AD">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其他非流动金融资产</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708,302,746.75</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708,302,746.75</w:t>
            </w:r>
          </w:p>
        </w:tc>
      </w:tr>
      <w:tr w:rsidR="00F068AD">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上述合计</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1,463,251,961.67</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-7,728,357.75</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1,119,089,573.30</w:t>
            </w:r>
          </w:p>
        </w:tc>
      </w:tr>
      <w:tr w:rsidR="00F068AD">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金融负债</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r>
    </w:tbl>
    <w:p w:rsidR="00C627C2" w:rsidRDefault="00C627C2">
      <w:pPr>
        <w:spacing w:before="100" w:after="100" w:line="240" w:lineRule="exact"/>
        <w:rPr>
          <w:rFonts w:ascii="宋体" w:eastAsia="宋体" w:hAnsi="宋体" w:cs="宋体"/>
          <w:sz w:val="18"/>
          <w:szCs w:val="18"/>
        </w:rPr>
      </w:pP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报告期内公司主要资产计量属性是否发生重大变化</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1C7791" w:rsidRDefault="001C7791">
      <w:pPr>
        <w:spacing w:before="40" w:after="40" w:line="240" w:lineRule="exact"/>
        <w:rPr>
          <w:rFonts w:ascii="宋体" w:eastAsia="宋体" w:hAnsi="宋体" w:cs="宋体"/>
          <w:sz w:val="18"/>
          <w:szCs w:val="18"/>
        </w:rPr>
      </w:pPr>
    </w:p>
    <w:p w:rsidR="00F068AD" w:rsidRDefault="00CB63CD">
      <w:pPr>
        <w:pStyle w:val="3"/>
        <w:spacing w:line="280" w:lineRule="exact"/>
        <w:jc w:val="left"/>
        <w:rPr>
          <w:rFonts w:ascii="宋体" w:hAnsi="宋体" w:cs="宋体"/>
          <w:b/>
          <w:bCs/>
        </w:rPr>
      </w:pPr>
      <w:bookmarkStart w:id="22" w:name="_Toc988911"/>
      <w:r>
        <w:rPr>
          <w:rFonts w:ascii="宋体" w:hAnsi="宋体" w:cs="宋体"/>
          <w:b/>
          <w:bCs/>
        </w:rPr>
        <w:t>4、截至报告期末的资产权利受限情况</w:t>
      </w:r>
      <w:bookmarkEnd w:id="22"/>
    </w:p>
    <w:p w:rsidR="00CB63CD" w:rsidRDefault="00CB63CD">
      <w:pPr>
        <w:pStyle w:val="a3"/>
        <w:divId w:val="649947675"/>
        <w:rPr>
          <w:sz w:val="18"/>
          <w:szCs w:val="18"/>
        </w:rPr>
      </w:pPr>
      <w:r>
        <w:rPr>
          <w:rFonts w:hint="eastAsia"/>
          <w:sz w:val="18"/>
          <w:szCs w:val="18"/>
        </w:rPr>
        <w:t xml:space="preserve">      </w:t>
      </w:r>
      <w:r w:rsidR="00C627C2">
        <w:rPr>
          <w:rFonts w:hint="eastAsia"/>
          <w:sz w:val="18"/>
          <w:szCs w:val="18"/>
        </w:rPr>
        <w:t xml:space="preserve">                                                                                 </w:t>
      </w:r>
      <w:r>
        <w:rPr>
          <w:rFonts w:hint="eastAsia"/>
          <w:sz w:val="18"/>
          <w:szCs w:val="18"/>
        </w:rPr>
        <w:t xml:space="preserve"> 单位:元</w:t>
      </w:r>
    </w:p>
    <w:tbl>
      <w:tblPr>
        <w:tblW w:w="4877" w:type="pct"/>
        <w:tblCellMar>
          <w:left w:w="0" w:type="dxa"/>
          <w:right w:w="0" w:type="dxa"/>
        </w:tblCellMar>
        <w:tblLook w:val="04A0" w:firstRow="1" w:lastRow="0" w:firstColumn="1" w:lastColumn="0" w:noHBand="0" w:noVBand="1"/>
      </w:tblPr>
      <w:tblGrid>
        <w:gridCol w:w="3205"/>
        <w:gridCol w:w="3204"/>
        <w:gridCol w:w="3202"/>
      </w:tblGrid>
      <w:tr w:rsidR="00CB63CD" w:rsidTr="007F01A4">
        <w:trPr>
          <w:divId w:val="649947675"/>
          <w:trHeight w:val="290"/>
        </w:trPr>
        <w:tc>
          <w:tcPr>
            <w:tcW w:w="166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 xml:space="preserve">    </w:t>
            </w:r>
            <w:r>
              <w:rPr>
                <w:rFonts w:cs="Times New Roman" w:hint="eastAsia"/>
                <w:color w:val="000000"/>
                <w:sz w:val="18"/>
                <w:szCs w:val="18"/>
              </w:rPr>
              <w:t>项  目</w:t>
            </w:r>
          </w:p>
        </w:tc>
        <w:tc>
          <w:tcPr>
            <w:tcW w:w="1667"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金  额</w:t>
            </w:r>
          </w:p>
        </w:tc>
        <w:tc>
          <w:tcPr>
            <w:tcW w:w="1666"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受限制的原因</w:t>
            </w:r>
          </w:p>
        </w:tc>
      </w:tr>
      <w:tr w:rsidR="00CB63CD" w:rsidTr="007F01A4">
        <w:trPr>
          <w:divId w:val="649947675"/>
          <w:trHeight w:val="290"/>
        </w:trPr>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rPr>
                <w:rFonts w:ascii="Times New Roman" w:hAnsi="Times New Roman" w:cs="Times New Roman"/>
                <w:sz w:val="21"/>
                <w:szCs w:val="21"/>
              </w:rPr>
            </w:pPr>
            <w:r>
              <w:rPr>
                <w:rFonts w:cs="Times New Roman" w:hint="eastAsia"/>
                <w:color w:val="000000"/>
                <w:sz w:val="18"/>
                <w:szCs w:val="18"/>
              </w:rPr>
              <w:lastRenderedPageBreak/>
              <w:t>货币资金</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109,500,000.00</w:t>
            </w:r>
          </w:p>
        </w:tc>
        <w:tc>
          <w:tcPr>
            <w:tcW w:w="16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借款保证金</w:t>
            </w:r>
          </w:p>
        </w:tc>
      </w:tr>
      <w:tr w:rsidR="00CB63CD" w:rsidTr="007F01A4">
        <w:trPr>
          <w:divId w:val="649947675"/>
          <w:trHeight w:val="290"/>
        </w:trPr>
        <w:tc>
          <w:tcPr>
            <w:tcW w:w="166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rPr>
                <w:rFonts w:ascii="Times New Roman" w:hAnsi="Times New Roman" w:cs="Times New Roman"/>
                <w:sz w:val="21"/>
                <w:szCs w:val="21"/>
              </w:rPr>
            </w:pPr>
            <w:r>
              <w:rPr>
                <w:rFonts w:cs="Times New Roman" w:hint="eastAsia"/>
                <w:color w:val="000000"/>
                <w:sz w:val="18"/>
                <w:szCs w:val="18"/>
              </w:rPr>
              <w:t>货币资金</w:t>
            </w:r>
          </w:p>
        </w:tc>
        <w:tc>
          <w:tcPr>
            <w:tcW w:w="166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15,000,000.00</w:t>
            </w:r>
          </w:p>
        </w:tc>
        <w:tc>
          <w:tcPr>
            <w:tcW w:w="166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银行承兑汇票保证金</w:t>
            </w:r>
          </w:p>
        </w:tc>
      </w:tr>
      <w:tr w:rsidR="00CB63CD" w:rsidTr="001C7791">
        <w:trPr>
          <w:divId w:val="649947675"/>
          <w:trHeight w:val="290"/>
        </w:trPr>
        <w:tc>
          <w:tcPr>
            <w:tcW w:w="1667"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rPr>
                <w:rFonts w:ascii="Times New Roman" w:hAnsi="Times New Roman" w:cs="Times New Roman"/>
                <w:sz w:val="21"/>
                <w:szCs w:val="21"/>
              </w:rPr>
            </w:pPr>
            <w:r>
              <w:rPr>
                <w:rFonts w:cs="Times New Roman" w:hint="eastAsia"/>
                <w:color w:val="000000"/>
                <w:sz w:val="18"/>
                <w:szCs w:val="18"/>
              </w:rPr>
              <w:t>应收款项融资</w:t>
            </w:r>
          </w:p>
        </w:tc>
        <w:tc>
          <w:tcPr>
            <w:tcW w:w="166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150,657,760.92</w:t>
            </w:r>
          </w:p>
        </w:tc>
        <w:tc>
          <w:tcPr>
            <w:tcW w:w="166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票据质押融资</w:t>
            </w:r>
          </w:p>
        </w:tc>
      </w:tr>
      <w:tr w:rsidR="00CB63CD" w:rsidTr="001C7791">
        <w:trPr>
          <w:divId w:val="649947675"/>
          <w:trHeight w:val="290"/>
        </w:trPr>
        <w:tc>
          <w:tcPr>
            <w:tcW w:w="166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rPr>
                <w:rFonts w:ascii="Times New Roman" w:hAnsi="Times New Roman" w:cs="Times New Roman"/>
                <w:sz w:val="21"/>
                <w:szCs w:val="21"/>
              </w:rPr>
            </w:pPr>
            <w:r>
              <w:rPr>
                <w:rFonts w:cs="Times New Roman" w:hint="eastAsia"/>
                <w:sz w:val="18"/>
                <w:szCs w:val="18"/>
              </w:rPr>
              <w:t>江阴华西化工码头有限公司75%股权</w:t>
            </w:r>
          </w:p>
        </w:tc>
        <w:tc>
          <w:tcPr>
            <w:tcW w:w="166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407,650,743.99</w:t>
            </w:r>
          </w:p>
        </w:tc>
        <w:tc>
          <w:tcPr>
            <w:tcW w:w="166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sz w:val="18"/>
                <w:szCs w:val="18"/>
              </w:rPr>
              <w:t>工商银行借款6,200万元由江苏华西集团有限公司提供担保及公司持有的江阴华西化工码头公司75%股权质押</w:t>
            </w:r>
          </w:p>
        </w:tc>
      </w:tr>
      <w:tr w:rsidR="00CB63CD">
        <w:trPr>
          <w:divId w:val="649947675"/>
          <w:trHeight w:val="290"/>
        </w:trPr>
        <w:tc>
          <w:tcPr>
            <w:tcW w:w="1667"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合  计</w:t>
            </w:r>
          </w:p>
        </w:tc>
        <w:tc>
          <w:tcPr>
            <w:tcW w:w="16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682,808,504.91</w:t>
            </w:r>
          </w:p>
        </w:tc>
        <w:tc>
          <w:tcPr>
            <w:tcW w:w="166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B63CD" w:rsidRDefault="00CB63CD">
            <w:pPr>
              <w:pStyle w:val="a3"/>
              <w:spacing w:before="0" w:beforeAutospacing="0" w:after="0" w:afterAutospacing="0"/>
              <w:rPr>
                <w:rFonts w:ascii="Times New Roman" w:hAnsi="Times New Roman" w:cs="Times New Roman"/>
                <w:sz w:val="21"/>
                <w:szCs w:val="21"/>
              </w:rPr>
            </w:pPr>
            <w:r>
              <w:rPr>
                <w:rFonts w:cs="Times New Roman" w:hint="eastAsia"/>
                <w:sz w:val="18"/>
                <w:szCs w:val="18"/>
              </w:rPr>
              <w:t> </w:t>
            </w:r>
          </w:p>
        </w:tc>
      </w:tr>
    </w:tbl>
    <w:p w:rsidR="00F068AD" w:rsidRDefault="00CB63CD">
      <w:pPr>
        <w:pStyle w:val="2"/>
        <w:spacing w:before="300" w:after="300" w:line="320" w:lineRule="exact"/>
        <w:rPr>
          <w:rFonts w:ascii="宋体" w:eastAsia="宋体" w:hAnsi="宋体" w:cs="宋体"/>
          <w:b/>
          <w:bCs/>
          <w:sz w:val="24"/>
          <w:szCs w:val="24"/>
        </w:rPr>
      </w:pPr>
      <w:bookmarkStart w:id="23" w:name="_Toc988912"/>
      <w:r>
        <w:rPr>
          <w:rFonts w:ascii="宋体" w:eastAsia="宋体" w:hAnsi="宋体" w:cs="宋体"/>
          <w:b/>
          <w:bCs/>
          <w:sz w:val="24"/>
          <w:szCs w:val="24"/>
        </w:rPr>
        <w:t>六、投资状况分析</w:t>
      </w:r>
      <w:bookmarkEnd w:id="23"/>
    </w:p>
    <w:p w:rsidR="00F068AD" w:rsidRDefault="00CB63CD">
      <w:pPr>
        <w:pStyle w:val="3"/>
        <w:spacing w:line="280" w:lineRule="exact"/>
        <w:jc w:val="left"/>
        <w:rPr>
          <w:rFonts w:ascii="宋体" w:hAnsi="宋体" w:cs="宋体"/>
          <w:b/>
          <w:bCs/>
        </w:rPr>
      </w:pPr>
      <w:bookmarkStart w:id="24" w:name="_Toc988913"/>
      <w:r>
        <w:rPr>
          <w:rFonts w:ascii="宋体" w:hAnsi="宋体" w:cs="宋体"/>
          <w:b/>
          <w:bCs/>
        </w:rPr>
        <w:t>1、总体情况</w:t>
      </w:r>
      <w:bookmarkEnd w:id="24"/>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报告期投资额（元）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上年同期投资额（元）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变动幅度</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25,732,924.44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984,068,780.97</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-97.39%</w:t>
            </w:r>
          </w:p>
        </w:tc>
      </w:tr>
    </w:tbl>
    <w:p w:rsidR="00F068AD" w:rsidRDefault="00CB63CD">
      <w:pPr>
        <w:pStyle w:val="3"/>
        <w:spacing w:line="280" w:lineRule="exact"/>
        <w:jc w:val="left"/>
        <w:rPr>
          <w:rFonts w:ascii="宋体" w:hAnsi="宋体" w:cs="宋体"/>
          <w:b/>
          <w:bCs/>
        </w:rPr>
      </w:pPr>
      <w:bookmarkStart w:id="25" w:name="_Toc988914"/>
      <w:r>
        <w:rPr>
          <w:rFonts w:ascii="宋体" w:hAnsi="宋体" w:cs="宋体"/>
          <w:b/>
          <w:bCs/>
        </w:rPr>
        <w:t>2、报告期内获取的重大的股权投资情况</w:t>
      </w:r>
      <w:bookmarkEnd w:id="25"/>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pStyle w:val="3"/>
        <w:spacing w:line="280" w:lineRule="exact"/>
        <w:jc w:val="left"/>
        <w:rPr>
          <w:rFonts w:ascii="宋体" w:hAnsi="宋体" w:cs="宋体"/>
          <w:b/>
          <w:bCs/>
        </w:rPr>
      </w:pPr>
      <w:bookmarkStart w:id="26" w:name="_Toc988915"/>
      <w:r>
        <w:rPr>
          <w:rFonts w:ascii="宋体" w:hAnsi="宋体" w:cs="宋体"/>
          <w:b/>
          <w:bCs/>
        </w:rPr>
        <w:t>3、报告期内正在进行的重大的非股权投资情况</w:t>
      </w:r>
      <w:bookmarkEnd w:id="26"/>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pStyle w:val="3"/>
        <w:spacing w:line="280" w:lineRule="exact"/>
        <w:jc w:val="left"/>
        <w:rPr>
          <w:rFonts w:ascii="宋体" w:hAnsi="宋体" w:cs="宋体"/>
          <w:b/>
          <w:bCs/>
        </w:rPr>
      </w:pPr>
      <w:bookmarkStart w:id="27" w:name="_Toc988916"/>
      <w:r>
        <w:rPr>
          <w:rFonts w:ascii="宋体" w:hAnsi="宋体" w:cs="宋体"/>
          <w:b/>
          <w:bCs/>
        </w:rPr>
        <w:t>4、金融资产投资</w:t>
      </w:r>
      <w:bookmarkEnd w:id="27"/>
    </w:p>
    <w:p w:rsidR="00F068AD" w:rsidRDefault="00CB63CD">
      <w:pPr>
        <w:keepNext/>
        <w:keepLines/>
        <w:spacing w:before="300" w:after="300" w:line="280" w:lineRule="exact"/>
        <w:outlineLvl w:val="3"/>
        <w:rPr>
          <w:rFonts w:ascii="宋体" w:eastAsia="宋体" w:hAnsi="宋体" w:cs="宋体"/>
          <w:b/>
          <w:bCs/>
          <w:sz w:val="18"/>
          <w:szCs w:val="18"/>
        </w:rPr>
      </w:pPr>
      <w:bookmarkStart w:id="28" w:name="_Toc988917"/>
      <w:r>
        <w:rPr>
          <w:rFonts w:ascii="宋体" w:eastAsia="宋体" w:hAnsi="宋体" w:cs="宋体"/>
          <w:b/>
          <w:bCs/>
          <w:sz w:val="18"/>
          <w:szCs w:val="18"/>
        </w:rPr>
        <w:t>（1） 证券投资情况</w:t>
      </w:r>
      <w:bookmarkEnd w:id="28"/>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F068AD" w:rsidRDefault="00CB63C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689"/>
        <w:gridCol w:w="689"/>
        <w:gridCol w:w="689"/>
        <w:gridCol w:w="689"/>
        <w:gridCol w:w="689"/>
        <w:gridCol w:w="689"/>
        <w:gridCol w:w="689"/>
        <w:gridCol w:w="688"/>
        <w:gridCol w:w="688"/>
        <w:gridCol w:w="688"/>
        <w:gridCol w:w="688"/>
        <w:gridCol w:w="688"/>
        <w:gridCol w:w="688"/>
        <w:gridCol w:w="688"/>
      </w:tblGrid>
      <w:tr w:rsidR="00F068AD">
        <w:trPr>
          <w:trHeight w:val="240"/>
        </w:trPr>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证券品种</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证券代码</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证券简称</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最初投资成本</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会计计量模式</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期初账面价值</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本期公允价值变动损益</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计入权益的累计公允价值变动</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本期购买金额</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本期出售金额</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报告期损益</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期末账面价值</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会计核算科目</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资金来源</w:t>
            </w:r>
          </w:p>
        </w:tc>
      </w:tr>
      <w:tr w:rsidR="00F068AD">
        <w:trPr>
          <w:trHeight w:val="240"/>
        </w:trPr>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境内外股票</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600919</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江苏银行</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128,814,658.96</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公允价值计量</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344,138,370.40</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45,187,255.20</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154,626,254.76</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73,905,061.96</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249,405,625.60</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交易性金融资产</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自有资金</w:t>
            </w:r>
          </w:p>
        </w:tc>
      </w:tr>
      <w:tr w:rsidR="00F068AD">
        <w:trPr>
          <w:trHeight w:val="240"/>
        </w:trPr>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境内外股票</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601688</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华泰证券</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5,888,246.32</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公允价值计量</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177,600,000.00</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-35,600,000.00</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-35,600,000.00</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142,000,000.00</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交易性金融资产</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自有资金</w:t>
            </w:r>
          </w:p>
        </w:tc>
      </w:tr>
      <w:tr w:rsidR="00F068AD">
        <w:trPr>
          <w:trHeight w:val="240"/>
        </w:trPr>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债券</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210211</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21国开11</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5,096,882.35</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公允价值计量</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354.64</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10,190,610.95</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5,095,076.58</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1,702.62</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5,097,236.99</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交易性金融资产</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自有资金</w:t>
            </w:r>
          </w:p>
        </w:tc>
      </w:tr>
      <w:tr w:rsidR="00F068AD">
        <w:trPr>
          <w:trHeight w:val="240"/>
        </w:trPr>
        <w:tc>
          <w:tcPr>
            <w:tcW w:w="206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139,799,78</w:t>
            </w:r>
            <w:r>
              <w:rPr>
                <w:rFonts w:ascii="宋体" w:eastAsia="宋体" w:hAnsi="宋体" w:cs="宋体"/>
                <w:sz w:val="18"/>
                <w:szCs w:val="18"/>
              </w:rPr>
              <w:lastRenderedPageBreak/>
              <w:t>7.63</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521,738,37</w:t>
            </w:r>
            <w:r>
              <w:rPr>
                <w:rFonts w:ascii="宋体" w:eastAsia="宋体" w:hAnsi="宋体" w:cs="宋体"/>
                <w:sz w:val="18"/>
                <w:szCs w:val="18"/>
              </w:rPr>
              <w:lastRenderedPageBreak/>
              <w:t>0.40</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lastRenderedPageBreak/>
              <w:t>9,587,609.</w:t>
            </w:r>
            <w:r>
              <w:rPr>
                <w:rFonts w:ascii="宋体" w:eastAsia="宋体" w:hAnsi="宋体" w:cs="宋体"/>
                <w:sz w:val="18"/>
                <w:szCs w:val="18"/>
              </w:rPr>
              <w:lastRenderedPageBreak/>
              <w:t>84</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lastRenderedPageBreak/>
              <w:t>0.00</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10,190,610</w:t>
            </w:r>
            <w:r>
              <w:rPr>
                <w:rFonts w:ascii="宋体" w:eastAsia="宋体" w:hAnsi="宋体" w:cs="宋体"/>
                <w:sz w:val="18"/>
                <w:szCs w:val="18"/>
              </w:rPr>
              <w:lastRenderedPageBreak/>
              <w:t>.95</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lastRenderedPageBreak/>
              <w:t>159,721,33</w:t>
            </w:r>
            <w:r>
              <w:rPr>
                <w:rFonts w:ascii="宋体" w:eastAsia="宋体" w:hAnsi="宋体" w:cs="宋体"/>
                <w:sz w:val="18"/>
                <w:szCs w:val="18"/>
              </w:rPr>
              <w:lastRenderedPageBreak/>
              <w:t>1.34</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lastRenderedPageBreak/>
              <w:t>38,306,764</w:t>
            </w:r>
            <w:r>
              <w:rPr>
                <w:rFonts w:ascii="宋体" w:eastAsia="宋体" w:hAnsi="宋体" w:cs="宋体"/>
                <w:sz w:val="18"/>
                <w:szCs w:val="18"/>
              </w:rPr>
              <w:lastRenderedPageBreak/>
              <w:t>.58</w:t>
            </w:r>
          </w:p>
        </w:tc>
        <w:tc>
          <w:tcPr>
            <w:tcW w:w="68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lastRenderedPageBreak/>
              <w:t>396,502,86</w:t>
            </w:r>
            <w:r>
              <w:rPr>
                <w:rFonts w:ascii="宋体" w:eastAsia="宋体" w:hAnsi="宋体" w:cs="宋体"/>
                <w:sz w:val="18"/>
                <w:szCs w:val="18"/>
              </w:rPr>
              <w:lastRenderedPageBreak/>
              <w:t>2.59</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F068AD" w:rsidRDefault="00CB63CD">
      <w:pPr>
        <w:keepNext/>
        <w:keepLines/>
        <w:spacing w:before="300" w:after="300" w:line="280" w:lineRule="exact"/>
        <w:outlineLvl w:val="3"/>
        <w:rPr>
          <w:rFonts w:ascii="宋体" w:eastAsia="宋体" w:hAnsi="宋体" w:cs="宋体"/>
          <w:b/>
          <w:bCs/>
          <w:sz w:val="18"/>
          <w:szCs w:val="18"/>
        </w:rPr>
      </w:pPr>
      <w:bookmarkStart w:id="29" w:name="_Toc988918"/>
      <w:r>
        <w:rPr>
          <w:rFonts w:ascii="宋体" w:eastAsia="宋体" w:hAnsi="宋体" w:cs="宋体"/>
          <w:b/>
          <w:bCs/>
          <w:sz w:val="18"/>
          <w:szCs w:val="18"/>
        </w:rPr>
        <w:lastRenderedPageBreak/>
        <w:t>（2） 衍生品投资情况</w:t>
      </w:r>
      <w:bookmarkEnd w:id="29"/>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F068AD" w:rsidRDefault="00CB63CD">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689"/>
        <w:gridCol w:w="689"/>
        <w:gridCol w:w="689"/>
        <w:gridCol w:w="1018"/>
        <w:gridCol w:w="992"/>
        <w:gridCol w:w="746"/>
        <w:gridCol w:w="955"/>
        <w:gridCol w:w="851"/>
        <w:gridCol w:w="992"/>
        <w:gridCol w:w="992"/>
        <w:gridCol w:w="1026"/>
      </w:tblGrid>
      <w:tr w:rsidR="00C627C2" w:rsidTr="00C627C2">
        <w:trPr>
          <w:trHeight w:val="240"/>
        </w:trPr>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C627C2" w:rsidRDefault="00C627C2">
            <w:pPr>
              <w:spacing w:before="40" w:after="40" w:line="240" w:lineRule="exact"/>
              <w:jc w:val="center"/>
              <w:rPr>
                <w:rFonts w:ascii="宋体" w:eastAsia="宋体" w:hAnsi="宋体" w:cs="宋体"/>
                <w:sz w:val="18"/>
                <w:szCs w:val="18"/>
              </w:rPr>
            </w:pPr>
            <w:r>
              <w:rPr>
                <w:rFonts w:ascii="宋体" w:eastAsia="宋体" w:hAnsi="宋体" w:cs="宋体"/>
                <w:sz w:val="18"/>
                <w:szCs w:val="18"/>
              </w:rPr>
              <w:t>衍生品投资操作方名称</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C627C2" w:rsidRDefault="00C627C2">
            <w:pPr>
              <w:spacing w:before="40" w:after="40" w:line="240" w:lineRule="exact"/>
              <w:jc w:val="center"/>
              <w:rPr>
                <w:rFonts w:ascii="宋体" w:eastAsia="宋体" w:hAnsi="宋体" w:cs="宋体"/>
                <w:sz w:val="18"/>
                <w:szCs w:val="18"/>
              </w:rPr>
            </w:pPr>
            <w:r>
              <w:rPr>
                <w:rFonts w:ascii="宋体" w:eastAsia="宋体" w:hAnsi="宋体" w:cs="宋体"/>
                <w:sz w:val="18"/>
                <w:szCs w:val="18"/>
              </w:rPr>
              <w:t>关联关系</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C627C2" w:rsidRDefault="00C627C2">
            <w:pPr>
              <w:spacing w:before="40" w:after="40" w:line="240" w:lineRule="exact"/>
              <w:jc w:val="center"/>
              <w:rPr>
                <w:rFonts w:ascii="宋体" w:eastAsia="宋体" w:hAnsi="宋体" w:cs="宋体"/>
                <w:sz w:val="18"/>
                <w:szCs w:val="18"/>
              </w:rPr>
            </w:pPr>
            <w:r>
              <w:rPr>
                <w:rFonts w:ascii="宋体" w:eastAsia="宋体" w:hAnsi="宋体" w:cs="宋体"/>
                <w:sz w:val="18"/>
                <w:szCs w:val="18"/>
              </w:rPr>
              <w:t>是否关联交易</w:t>
            </w:r>
          </w:p>
        </w:tc>
        <w:tc>
          <w:tcPr>
            <w:tcW w:w="1018" w:type="dxa"/>
            <w:tcBorders>
              <w:top w:val="single" w:sz="2" w:space="0" w:color="auto"/>
              <w:left w:val="single" w:sz="2" w:space="0" w:color="auto"/>
              <w:bottom w:val="single" w:sz="2" w:space="0" w:color="auto"/>
              <w:right w:val="single" w:sz="2" w:space="0" w:color="auto"/>
            </w:tcBorders>
            <w:shd w:val="clear" w:color="auto" w:fill="D3D3D3"/>
            <w:vAlign w:val="center"/>
          </w:tcPr>
          <w:p w:rsidR="00C627C2" w:rsidRDefault="00C627C2">
            <w:pPr>
              <w:spacing w:before="40" w:after="40" w:line="240" w:lineRule="exact"/>
              <w:jc w:val="center"/>
              <w:rPr>
                <w:rFonts w:ascii="宋体" w:eastAsia="宋体" w:hAnsi="宋体" w:cs="宋体"/>
                <w:sz w:val="18"/>
                <w:szCs w:val="18"/>
              </w:rPr>
            </w:pPr>
            <w:r>
              <w:rPr>
                <w:rFonts w:ascii="宋体" w:eastAsia="宋体" w:hAnsi="宋体" w:cs="宋体"/>
                <w:sz w:val="18"/>
                <w:szCs w:val="18"/>
              </w:rPr>
              <w:t>衍生品投资类型</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C627C2" w:rsidRDefault="00C627C2">
            <w:pPr>
              <w:spacing w:before="40" w:after="40" w:line="240" w:lineRule="exact"/>
              <w:jc w:val="center"/>
              <w:rPr>
                <w:rFonts w:ascii="宋体" w:eastAsia="宋体" w:hAnsi="宋体" w:cs="宋体"/>
                <w:sz w:val="18"/>
                <w:szCs w:val="18"/>
              </w:rPr>
            </w:pPr>
            <w:r>
              <w:rPr>
                <w:rFonts w:ascii="宋体" w:eastAsia="宋体" w:hAnsi="宋体" w:cs="宋体"/>
                <w:sz w:val="18"/>
                <w:szCs w:val="18"/>
              </w:rPr>
              <w:t>起始日期</w:t>
            </w:r>
          </w:p>
        </w:tc>
        <w:tc>
          <w:tcPr>
            <w:tcW w:w="746" w:type="dxa"/>
            <w:tcBorders>
              <w:top w:val="single" w:sz="2" w:space="0" w:color="auto"/>
              <w:left w:val="single" w:sz="2" w:space="0" w:color="auto"/>
              <w:bottom w:val="single" w:sz="2" w:space="0" w:color="auto"/>
              <w:right w:val="single" w:sz="2" w:space="0" w:color="auto"/>
            </w:tcBorders>
            <w:shd w:val="clear" w:color="auto" w:fill="D3D3D3"/>
            <w:vAlign w:val="center"/>
          </w:tcPr>
          <w:p w:rsidR="00C627C2" w:rsidRDefault="00C627C2">
            <w:pPr>
              <w:spacing w:before="40" w:after="40" w:line="240" w:lineRule="exact"/>
              <w:jc w:val="center"/>
              <w:rPr>
                <w:rFonts w:ascii="宋体" w:eastAsia="宋体" w:hAnsi="宋体" w:cs="宋体"/>
                <w:sz w:val="18"/>
                <w:szCs w:val="18"/>
              </w:rPr>
            </w:pPr>
            <w:r>
              <w:rPr>
                <w:rFonts w:ascii="宋体" w:eastAsia="宋体" w:hAnsi="宋体" w:cs="宋体"/>
                <w:sz w:val="18"/>
                <w:szCs w:val="18"/>
              </w:rPr>
              <w:t>终止日期</w:t>
            </w:r>
          </w:p>
        </w:tc>
        <w:tc>
          <w:tcPr>
            <w:tcW w:w="955" w:type="dxa"/>
            <w:tcBorders>
              <w:top w:val="single" w:sz="2" w:space="0" w:color="auto"/>
              <w:left w:val="single" w:sz="2" w:space="0" w:color="auto"/>
              <w:bottom w:val="single" w:sz="2" w:space="0" w:color="auto"/>
              <w:right w:val="single" w:sz="2" w:space="0" w:color="auto"/>
            </w:tcBorders>
            <w:shd w:val="clear" w:color="auto" w:fill="D3D3D3"/>
            <w:vAlign w:val="center"/>
          </w:tcPr>
          <w:p w:rsidR="00C627C2" w:rsidRDefault="00C627C2">
            <w:pPr>
              <w:spacing w:before="40" w:after="40" w:line="240" w:lineRule="exact"/>
              <w:jc w:val="center"/>
              <w:rPr>
                <w:rFonts w:ascii="宋体" w:eastAsia="宋体" w:hAnsi="宋体" w:cs="宋体"/>
                <w:sz w:val="18"/>
                <w:szCs w:val="18"/>
              </w:rPr>
            </w:pPr>
            <w:r>
              <w:rPr>
                <w:rFonts w:ascii="宋体" w:eastAsia="宋体" w:hAnsi="宋体" w:cs="宋体"/>
                <w:sz w:val="18"/>
                <w:szCs w:val="18"/>
              </w:rPr>
              <w:t>期初投资金额</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C627C2" w:rsidRDefault="00C627C2">
            <w:pPr>
              <w:spacing w:before="40" w:after="40" w:line="240" w:lineRule="exact"/>
              <w:jc w:val="center"/>
              <w:rPr>
                <w:rFonts w:ascii="宋体" w:eastAsia="宋体" w:hAnsi="宋体" w:cs="宋体"/>
                <w:sz w:val="18"/>
                <w:szCs w:val="18"/>
              </w:rPr>
            </w:pPr>
            <w:r>
              <w:rPr>
                <w:rFonts w:ascii="宋体" w:eastAsia="宋体" w:hAnsi="宋体" w:cs="宋体"/>
                <w:sz w:val="18"/>
                <w:szCs w:val="18"/>
              </w:rPr>
              <w:t>计提减值准备金额（如有）</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C627C2" w:rsidRDefault="00C627C2">
            <w:pPr>
              <w:spacing w:before="40" w:after="40" w:line="240" w:lineRule="exact"/>
              <w:jc w:val="center"/>
              <w:rPr>
                <w:rFonts w:ascii="宋体" w:eastAsia="宋体" w:hAnsi="宋体" w:cs="宋体"/>
                <w:sz w:val="18"/>
                <w:szCs w:val="18"/>
              </w:rPr>
            </w:pPr>
            <w:r>
              <w:rPr>
                <w:rFonts w:ascii="宋体" w:eastAsia="宋体" w:hAnsi="宋体" w:cs="宋体"/>
                <w:sz w:val="18"/>
                <w:szCs w:val="18"/>
              </w:rPr>
              <w:t>期末投资金额</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C627C2" w:rsidRDefault="00C627C2">
            <w:pPr>
              <w:spacing w:before="40" w:after="40" w:line="240" w:lineRule="exact"/>
              <w:jc w:val="center"/>
              <w:rPr>
                <w:rFonts w:ascii="宋体" w:eastAsia="宋体" w:hAnsi="宋体" w:cs="宋体"/>
                <w:sz w:val="18"/>
                <w:szCs w:val="18"/>
              </w:rPr>
            </w:pPr>
            <w:r>
              <w:rPr>
                <w:rFonts w:ascii="宋体" w:eastAsia="宋体" w:hAnsi="宋体" w:cs="宋体"/>
                <w:sz w:val="18"/>
                <w:szCs w:val="18"/>
              </w:rPr>
              <w:t>期末投资金额占公司报告期末净资产比例</w:t>
            </w:r>
          </w:p>
        </w:tc>
        <w:tc>
          <w:tcPr>
            <w:tcW w:w="1026" w:type="dxa"/>
            <w:tcBorders>
              <w:top w:val="single" w:sz="2" w:space="0" w:color="auto"/>
              <w:left w:val="single" w:sz="2" w:space="0" w:color="auto"/>
              <w:bottom w:val="single" w:sz="2" w:space="0" w:color="auto"/>
              <w:right w:val="single" w:sz="2" w:space="0" w:color="auto"/>
            </w:tcBorders>
            <w:shd w:val="clear" w:color="auto" w:fill="D3D3D3"/>
            <w:vAlign w:val="center"/>
          </w:tcPr>
          <w:p w:rsidR="00C627C2" w:rsidRDefault="00C627C2">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报告期实际损益金额</w:t>
            </w:r>
          </w:p>
        </w:tc>
      </w:tr>
      <w:tr w:rsidR="00C627C2" w:rsidTr="00C627C2">
        <w:trPr>
          <w:trHeight w:val="240"/>
        </w:trPr>
        <w:tc>
          <w:tcPr>
            <w:tcW w:w="689" w:type="dxa"/>
            <w:tcBorders>
              <w:top w:val="single" w:sz="2" w:space="0" w:color="auto"/>
              <w:left w:val="single" w:sz="2" w:space="0" w:color="auto"/>
              <w:bottom w:val="single" w:sz="2" w:space="0" w:color="auto"/>
              <w:right w:val="single" w:sz="2" w:space="0" w:color="auto"/>
            </w:tcBorders>
            <w:vAlign w:val="center"/>
          </w:tcPr>
          <w:p w:rsidR="00C627C2" w:rsidRDefault="00C627C2">
            <w:pPr>
              <w:spacing w:line="240" w:lineRule="exact"/>
              <w:rPr>
                <w:rFonts w:ascii="宋体" w:eastAsia="宋体" w:hAnsi="宋体" w:cs="宋体"/>
                <w:sz w:val="18"/>
                <w:szCs w:val="18"/>
              </w:rPr>
            </w:pPr>
            <w:r>
              <w:rPr>
                <w:rFonts w:ascii="宋体" w:eastAsia="宋体" w:hAnsi="宋体" w:cs="宋体"/>
                <w:sz w:val="18"/>
                <w:szCs w:val="18"/>
              </w:rPr>
              <w:t>期货交易所</w:t>
            </w:r>
          </w:p>
        </w:tc>
        <w:tc>
          <w:tcPr>
            <w:tcW w:w="689" w:type="dxa"/>
            <w:tcBorders>
              <w:top w:val="single" w:sz="2" w:space="0" w:color="auto"/>
              <w:left w:val="single" w:sz="2" w:space="0" w:color="auto"/>
              <w:bottom w:val="single" w:sz="2" w:space="0" w:color="auto"/>
              <w:right w:val="single" w:sz="2" w:space="0" w:color="auto"/>
            </w:tcBorders>
            <w:vAlign w:val="center"/>
          </w:tcPr>
          <w:p w:rsidR="00C627C2" w:rsidRDefault="00C627C2">
            <w:pPr>
              <w:spacing w:line="240" w:lineRule="exact"/>
              <w:rPr>
                <w:rFonts w:ascii="宋体" w:eastAsia="宋体" w:hAnsi="宋体" w:cs="宋体"/>
                <w:sz w:val="18"/>
                <w:szCs w:val="18"/>
              </w:rPr>
            </w:pPr>
            <w:r>
              <w:rPr>
                <w:rFonts w:ascii="宋体" w:eastAsia="宋体" w:hAnsi="宋体" w:cs="宋体"/>
                <w:sz w:val="18"/>
                <w:szCs w:val="18"/>
              </w:rPr>
              <w:t>无</w:t>
            </w:r>
          </w:p>
        </w:tc>
        <w:tc>
          <w:tcPr>
            <w:tcW w:w="689" w:type="dxa"/>
            <w:tcBorders>
              <w:top w:val="single" w:sz="2" w:space="0" w:color="auto"/>
              <w:left w:val="single" w:sz="2" w:space="0" w:color="auto"/>
              <w:bottom w:val="single" w:sz="2" w:space="0" w:color="auto"/>
              <w:right w:val="single" w:sz="2" w:space="0" w:color="auto"/>
            </w:tcBorders>
            <w:vAlign w:val="center"/>
          </w:tcPr>
          <w:p w:rsidR="00C627C2" w:rsidRDefault="00C627C2">
            <w:pPr>
              <w:spacing w:line="240" w:lineRule="exact"/>
              <w:rPr>
                <w:rFonts w:ascii="宋体" w:eastAsia="宋体" w:hAnsi="宋体" w:cs="宋体"/>
                <w:sz w:val="18"/>
                <w:szCs w:val="18"/>
              </w:rPr>
            </w:pPr>
            <w:r>
              <w:rPr>
                <w:rFonts w:ascii="宋体" w:eastAsia="宋体" w:hAnsi="宋体" w:cs="宋体"/>
                <w:sz w:val="18"/>
                <w:szCs w:val="18"/>
              </w:rPr>
              <w:t>否</w:t>
            </w:r>
          </w:p>
        </w:tc>
        <w:tc>
          <w:tcPr>
            <w:tcW w:w="1018" w:type="dxa"/>
            <w:tcBorders>
              <w:top w:val="single" w:sz="2" w:space="0" w:color="auto"/>
              <w:left w:val="single" w:sz="2" w:space="0" w:color="auto"/>
              <w:bottom w:val="single" w:sz="2" w:space="0" w:color="auto"/>
              <w:right w:val="single" w:sz="2" w:space="0" w:color="auto"/>
            </w:tcBorders>
            <w:vAlign w:val="center"/>
          </w:tcPr>
          <w:p w:rsidR="00C627C2" w:rsidRDefault="00C627C2">
            <w:pPr>
              <w:spacing w:line="240" w:lineRule="exact"/>
              <w:rPr>
                <w:rFonts w:ascii="宋体" w:eastAsia="宋体" w:hAnsi="宋体" w:cs="宋体"/>
                <w:sz w:val="18"/>
                <w:szCs w:val="18"/>
              </w:rPr>
            </w:pPr>
            <w:r>
              <w:rPr>
                <w:rFonts w:ascii="宋体" w:eastAsia="宋体" w:hAnsi="宋体" w:cs="宋体"/>
                <w:sz w:val="18"/>
                <w:szCs w:val="18"/>
              </w:rPr>
              <w:t>PTA、MEG、PF套期保值</w:t>
            </w:r>
          </w:p>
        </w:tc>
        <w:tc>
          <w:tcPr>
            <w:tcW w:w="992" w:type="dxa"/>
            <w:tcBorders>
              <w:top w:val="single" w:sz="2" w:space="0" w:color="auto"/>
              <w:left w:val="single" w:sz="2" w:space="0" w:color="auto"/>
              <w:bottom w:val="single" w:sz="2" w:space="0" w:color="auto"/>
              <w:right w:val="single" w:sz="2" w:space="0" w:color="auto"/>
            </w:tcBorders>
            <w:vAlign w:val="center"/>
          </w:tcPr>
          <w:p w:rsidR="00C627C2" w:rsidRDefault="00C627C2">
            <w:pPr>
              <w:spacing w:line="240" w:lineRule="exact"/>
              <w:rPr>
                <w:rFonts w:ascii="宋体" w:eastAsia="宋体" w:hAnsi="宋体" w:cs="宋体"/>
                <w:sz w:val="18"/>
                <w:szCs w:val="18"/>
              </w:rPr>
            </w:pPr>
            <w:r>
              <w:rPr>
                <w:rFonts w:ascii="宋体" w:eastAsia="宋体" w:hAnsi="宋体" w:cs="宋体"/>
                <w:sz w:val="18"/>
                <w:szCs w:val="18"/>
              </w:rPr>
              <w:t>2020年10月20日</w:t>
            </w:r>
          </w:p>
        </w:tc>
        <w:tc>
          <w:tcPr>
            <w:tcW w:w="746" w:type="dxa"/>
            <w:tcBorders>
              <w:top w:val="single" w:sz="2" w:space="0" w:color="auto"/>
              <w:left w:val="single" w:sz="2" w:space="0" w:color="auto"/>
              <w:bottom w:val="single" w:sz="2" w:space="0" w:color="auto"/>
              <w:right w:val="single" w:sz="2" w:space="0" w:color="auto"/>
            </w:tcBorders>
            <w:vAlign w:val="center"/>
          </w:tcPr>
          <w:p w:rsidR="00C627C2" w:rsidRDefault="00C627C2">
            <w:pPr>
              <w:spacing w:line="240" w:lineRule="exact"/>
              <w:rPr>
                <w:rFonts w:ascii="宋体" w:eastAsia="宋体" w:hAnsi="宋体" w:cs="宋体"/>
                <w:sz w:val="18"/>
                <w:szCs w:val="18"/>
              </w:rPr>
            </w:pPr>
          </w:p>
        </w:tc>
        <w:tc>
          <w:tcPr>
            <w:tcW w:w="955" w:type="dxa"/>
            <w:tcBorders>
              <w:top w:val="single" w:sz="2" w:space="0" w:color="auto"/>
              <w:left w:val="single" w:sz="2" w:space="0" w:color="auto"/>
              <w:bottom w:val="single" w:sz="2" w:space="0" w:color="auto"/>
              <w:right w:val="single" w:sz="2" w:space="0" w:color="auto"/>
            </w:tcBorders>
            <w:vAlign w:val="center"/>
          </w:tcPr>
          <w:p w:rsidR="00C627C2" w:rsidRDefault="00C627C2">
            <w:pPr>
              <w:spacing w:line="240" w:lineRule="exact"/>
              <w:jc w:val="right"/>
              <w:rPr>
                <w:rFonts w:ascii="宋体" w:eastAsia="宋体" w:hAnsi="宋体" w:cs="宋体"/>
                <w:sz w:val="18"/>
                <w:szCs w:val="18"/>
              </w:rPr>
            </w:pPr>
            <w:r>
              <w:rPr>
                <w:rFonts w:ascii="宋体" w:eastAsia="宋体" w:hAnsi="宋体" w:cs="宋体"/>
                <w:sz w:val="18"/>
                <w:szCs w:val="18"/>
              </w:rPr>
              <w:t>1,816.43</w:t>
            </w:r>
          </w:p>
        </w:tc>
        <w:tc>
          <w:tcPr>
            <w:tcW w:w="851" w:type="dxa"/>
            <w:tcBorders>
              <w:top w:val="single" w:sz="2" w:space="0" w:color="auto"/>
              <w:left w:val="single" w:sz="2" w:space="0" w:color="auto"/>
              <w:bottom w:val="single" w:sz="2" w:space="0" w:color="auto"/>
              <w:right w:val="single" w:sz="2" w:space="0" w:color="auto"/>
            </w:tcBorders>
            <w:vAlign w:val="center"/>
          </w:tcPr>
          <w:p w:rsidR="00C627C2" w:rsidRDefault="00C627C2">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C627C2" w:rsidRDefault="00C627C2" w:rsidP="00321E14">
            <w:pPr>
              <w:spacing w:line="240" w:lineRule="exact"/>
              <w:jc w:val="right"/>
              <w:rPr>
                <w:rFonts w:ascii="宋体" w:eastAsia="宋体" w:hAnsi="宋体" w:cs="宋体"/>
                <w:sz w:val="18"/>
                <w:szCs w:val="18"/>
              </w:rPr>
            </w:pPr>
            <w:r>
              <w:rPr>
                <w:rFonts w:ascii="宋体" w:eastAsia="宋体" w:hAnsi="宋体" w:cs="宋体"/>
                <w:sz w:val="18"/>
                <w:szCs w:val="18"/>
              </w:rPr>
              <w:t>1,</w:t>
            </w:r>
            <w:r w:rsidR="00321E14">
              <w:rPr>
                <w:rFonts w:ascii="宋体" w:eastAsia="宋体" w:hAnsi="宋体" w:cs="宋体" w:hint="eastAsia"/>
                <w:sz w:val="18"/>
                <w:szCs w:val="18"/>
              </w:rPr>
              <w:t>2</w:t>
            </w:r>
            <w:r>
              <w:rPr>
                <w:rFonts w:ascii="宋体" w:eastAsia="宋体" w:hAnsi="宋体" w:cs="宋体"/>
                <w:sz w:val="18"/>
                <w:szCs w:val="18"/>
              </w:rPr>
              <w:t>92.</w:t>
            </w:r>
            <w:r w:rsidR="00321E14">
              <w:rPr>
                <w:rFonts w:ascii="宋体" w:eastAsia="宋体" w:hAnsi="宋体" w:cs="宋体" w:hint="eastAsia"/>
                <w:sz w:val="18"/>
                <w:szCs w:val="18"/>
              </w:rPr>
              <w:t>0</w:t>
            </w: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C627C2" w:rsidRDefault="00C627C2" w:rsidP="00321E14">
            <w:pPr>
              <w:spacing w:line="240" w:lineRule="exact"/>
              <w:jc w:val="right"/>
              <w:rPr>
                <w:rFonts w:ascii="宋体" w:eastAsia="宋体" w:hAnsi="宋体" w:cs="宋体"/>
                <w:sz w:val="18"/>
                <w:szCs w:val="18"/>
              </w:rPr>
            </w:pPr>
            <w:r>
              <w:rPr>
                <w:rFonts w:ascii="宋体" w:eastAsia="宋体" w:hAnsi="宋体" w:cs="宋体"/>
                <w:sz w:val="18"/>
                <w:szCs w:val="18"/>
              </w:rPr>
              <w:t>0.2</w:t>
            </w:r>
            <w:r w:rsidR="00321E14">
              <w:rPr>
                <w:rFonts w:ascii="宋体" w:eastAsia="宋体" w:hAnsi="宋体" w:cs="宋体" w:hint="eastAsia"/>
                <w:sz w:val="18"/>
                <w:szCs w:val="18"/>
              </w:rPr>
              <w:t>5</w:t>
            </w:r>
            <w:r>
              <w:rPr>
                <w:rFonts w:ascii="宋体" w:eastAsia="宋体" w:hAnsi="宋体" w:cs="宋体"/>
                <w:sz w:val="18"/>
                <w:szCs w:val="18"/>
              </w:rPr>
              <w:t>%</w:t>
            </w:r>
          </w:p>
        </w:tc>
        <w:tc>
          <w:tcPr>
            <w:tcW w:w="1026" w:type="dxa"/>
            <w:tcBorders>
              <w:top w:val="single" w:sz="2" w:space="0" w:color="auto"/>
              <w:left w:val="single" w:sz="2" w:space="0" w:color="auto"/>
              <w:bottom w:val="single" w:sz="2" w:space="0" w:color="auto"/>
              <w:right w:val="single" w:sz="2" w:space="0" w:color="auto"/>
            </w:tcBorders>
            <w:vAlign w:val="center"/>
          </w:tcPr>
          <w:p w:rsidR="00C627C2" w:rsidRDefault="00C627C2">
            <w:pPr>
              <w:spacing w:line="240" w:lineRule="exact"/>
              <w:jc w:val="right"/>
              <w:rPr>
                <w:rFonts w:ascii="宋体" w:eastAsia="宋体" w:hAnsi="宋体" w:cs="宋体"/>
                <w:sz w:val="18"/>
                <w:szCs w:val="18"/>
              </w:rPr>
            </w:pPr>
            <w:r>
              <w:rPr>
                <w:rFonts w:ascii="宋体" w:eastAsia="宋体" w:hAnsi="宋体" w:cs="宋体"/>
                <w:sz w:val="18"/>
                <w:szCs w:val="18"/>
              </w:rPr>
              <w:t>-1,564.99</w:t>
            </w:r>
          </w:p>
        </w:tc>
      </w:tr>
      <w:tr w:rsidR="00C627C2" w:rsidTr="00C627C2">
        <w:trPr>
          <w:trHeight w:val="240"/>
        </w:trPr>
        <w:tc>
          <w:tcPr>
            <w:tcW w:w="308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C627C2" w:rsidRDefault="00C627C2">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992" w:type="dxa"/>
            <w:tcBorders>
              <w:top w:val="single" w:sz="2" w:space="0" w:color="auto"/>
              <w:left w:val="single" w:sz="2" w:space="0" w:color="auto"/>
              <w:bottom w:val="single" w:sz="2" w:space="0" w:color="auto"/>
              <w:right w:val="single" w:sz="2" w:space="0" w:color="auto"/>
            </w:tcBorders>
            <w:vAlign w:val="center"/>
          </w:tcPr>
          <w:p w:rsidR="00C627C2" w:rsidRDefault="00C627C2">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746" w:type="dxa"/>
            <w:tcBorders>
              <w:top w:val="single" w:sz="2" w:space="0" w:color="auto"/>
              <w:left w:val="single" w:sz="2" w:space="0" w:color="auto"/>
              <w:bottom w:val="single" w:sz="2" w:space="0" w:color="auto"/>
              <w:right w:val="single" w:sz="2" w:space="0" w:color="auto"/>
            </w:tcBorders>
            <w:shd w:val="clear" w:color="auto" w:fill="D3D3D3"/>
            <w:vAlign w:val="center"/>
          </w:tcPr>
          <w:p w:rsidR="00C627C2" w:rsidRDefault="00C627C2">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955" w:type="dxa"/>
            <w:tcBorders>
              <w:top w:val="single" w:sz="2" w:space="0" w:color="auto"/>
              <w:left w:val="single" w:sz="2" w:space="0" w:color="auto"/>
              <w:bottom w:val="single" w:sz="2" w:space="0" w:color="auto"/>
              <w:right w:val="single" w:sz="2" w:space="0" w:color="auto"/>
            </w:tcBorders>
            <w:vAlign w:val="center"/>
          </w:tcPr>
          <w:p w:rsidR="00C627C2" w:rsidRDefault="00C627C2">
            <w:pPr>
              <w:spacing w:line="240" w:lineRule="exact"/>
              <w:jc w:val="right"/>
              <w:rPr>
                <w:rFonts w:ascii="宋体" w:eastAsia="宋体" w:hAnsi="宋体" w:cs="宋体"/>
                <w:sz w:val="18"/>
                <w:szCs w:val="18"/>
              </w:rPr>
            </w:pPr>
            <w:r>
              <w:rPr>
                <w:rFonts w:ascii="宋体" w:eastAsia="宋体" w:hAnsi="宋体" w:cs="宋体"/>
                <w:sz w:val="18"/>
                <w:szCs w:val="18"/>
              </w:rPr>
              <w:t>1,816.43</w:t>
            </w:r>
          </w:p>
        </w:tc>
        <w:tc>
          <w:tcPr>
            <w:tcW w:w="851" w:type="dxa"/>
            <w:tcBorders>
              <w:top w:val="single" w:sz="2" w:space="0" w:color="auto"/>
              <w:left w:val="single" w:sz="2" w:space="0" w:color="auto"/>
              <w:bottom w:val="single" w:sz="2" w:space="0" w:color="auto"/>
              <w:right w:val="single" w:sz="2" w:space="0" w:color="auto"/>
            </w:tcBorders>
            <w:vAlign w:val="center"/>
          </w:tcPr>
          <w:p w:rsidR="00C627C2" w:rsidRDefault="00C627C2">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C627C2" w:rsidRDefault="00C627C2" w:rsidP="00321E14">
            <w:pPr>
              <w:spacing w:line="240" w:lineRule="exact"/>
              <w:jc w:val="right"/>
              <w:rPr>
                <w:rFonts w:ascii="宋体" w:eastAsia="宋体" w:hAnsi="宋体" w:cs="宋体"/>
                <w:sz w:val="18"/>
                <w:szCs w:val="18"/>
              </w:rPr>
            </w:pPr>
            <w:r>
              <w:rPr>
                <w:rFonts w:ascii="宋体" w:eastAsia="宋体" w:hAnsi="宋体" w:cs="宋体"/>
                <w:sz w:val="18"/>
                <w:szCs w:val="18"/>
              </w:rPr>
              <w:t>1,</w:t>
            </w:r>
            <w:r w:rsidR="00321E14">
              <w:rPr>
                <w:rFonts w:ascii="宋体" w:eastAsia="宋体" w:hAnsi="宋体" w:cs="宋体" w:hint="eastAsia"/>
                <w:sz w:val="18"/>
                <w:szCs w:val="18"/>
              </w:rPr>
              <w:t>2</w:t>
            </w:r>
            <w:r>
              <w:rPr>
                <w:rFonts w:ascii="宋体" w:eastAsia="宋体" w:hAnsi="宋体" w:cs="宋体"/>
                <w:sz w:val="18"/>
                <w:szCs w:val="18"/>
              </w:rPr>
              <w:t>92.</w:t>
            </w:r>
            <w:r w:rsidR="00321E14">
              <w:rPr>
                <w:rFonts w:ascii="宋体" w:eastAsia="宋体" w:hAnsi="宋体" w:cs="宋体" w:hint="eastAsia"/>
                <w:sz w:val="18"/>
                <w:szCs w:val="18"/>
              </w:rPr>
              <w:t>0</w:t>
            </w: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C627C2" w:rsidRDefault="00C627C2" w:rsidP="00321E14">
            <w:pPr>
              <w:spacing w:line="240" w:lineRule="exact"/>
              <w:jc w:val="right"/>
              <w:rPr>
                <w:rFonts w:ascii="宋体" w:eastAsia="宋体" w:hAnsi="宋体" w:cs="宋体"/>
                <w:sz w:val="18"/>
                <w:szCs w:val="18"/>
              </w:rPr>
            </w:pPr>
            <w:r>
              <w:rPr>
                <w:rFonts w:ascii="宋体" w:eastAsia="宋体" w:hAnsi="宋体" w:cs="宋体"/>
                <w:sz w:val="18"/>
                <w:szCs w:val="18"/>
              </w:rPr>
              <w:t>0.2</w:t>
            </w:r>
            <w:r w:rsidR="00321E14">
              <w:rPr>
                <w:rFonts w:ascii="宋体" w:eastAsia="宋体" w:hAnsi="宋体" w:cs="宋体" w:hint="eastAsia"/>
                <w:sz w:val="18"/>
                <w:szCs w:val="18"/>
              </w:rPr>
              <w:t>5</w:t>
            </w:r>
            <w:r>
              <w:rPr>
                <w:rFonts w:ascii="宋体" w:eastAsia="宋体" w:hAnsi="宋体" w:cs="宋体"/>
                <w:sz w:val="18"/>
                <w:szCs w:val="18"/>
              </w:rPr>
              <w:t>%</w:t>
            </w:r>
          </w:p>
        </w:tc>
        <w:tc>
          <w:tcPr>
            <w:tcW w:w="1026" w:type="dxa"/>
            <w:tcBorders>
              <w:top w:val="single" w:sz="2" w:space="0" w:color="auto"/>
              <w:left w:val="single" w:sz="2" w:space="0" w:color="auto"/>
              <w:bottom w:val="single" w:sz="2" w:space="0" w:color="auto"/>
              <w:right w:val="single" w:sz="2" w:space="0" w:color="auto"/>
            </w:tcBorders>
            <w:vAlign w:val="center"/>
          </w:tcPr>
          <w:p w:rsidR="00C627C2" w:rsidRDefault="00C627C2">
            <w:pPr>
              <w:spacing w:line="240" w:lineRule="exact"/>
              <w:jc w:val="right"/>
              <w:rPr>
                <w:rFonts w:ascii="宋体" w:eastAsia="宋体" w:hAnsi="宋体" w:cs="宋体"/>
                <w:sz w:val="18"/>
                <w:szCs w:val="18"/>
              </w:rPr>
            </w:pPr>
            <w:r>
              <w:rPr>
                <w:rFonts w:ascii="宋体" w:eastAsia="宋体" w:hAnsi="宋体" w:cs="宋体"/>
                <w:sz w:val="18"/>
                <w:szCs w:val="18"/>
              </w:rPr>
              <w:t>-1,564.99</w:t>
            </w:r>
          </w:p>
        </w:tc>
      </w:tr>
      <w:tr w:rsidR="00F068AD" w:rsidTr="00C627C2">
        <w:trPr>
          <w:trHeight w:val="240"/>
        </w:trPr>
        <w:tc>
          <w:tcPr>
            <w:tcW w:w="308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衍生品投资资金来源</w:t>
            </w:r>
          </w:p>
        </w:tc>
        <w:tc>
          <w:tcPr>
            <w:tcW w:w="6554" w:type="dxa"/>
            <w:gridSpan w:val="7"/>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自有资金</w:t>
            </w:r>
          </w:p>
        </w:tc>
      </w:tr>
      <w:tr w:rsidR="00F068AD" w:rsidTr="00C627C2">
        <w:trPr>
          <w:trHeight w:val="240"/>
        </w:trPr>
        <w:tc>
          <w:tcPr>
            <w:tcW w:w="308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涉诉情况（如适用）</w:t>
            </w:r>
          </w:p>
        </w:tc>
        <w:tc>
          <w:tcPr>
            <w:tcW w:w="6554" w:type="dxa"/>
            <w:gridSpan w:val="7"/>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不适用</w:t>
            </w:r>
          </w:p>
        </w:tc>
      </w:tr>
      <w:tr w:rsidR="00F068AD" w:rsidTr="00C627C2">
        <w:trPr>
          <w:trHeight w:val="240"/>
        </w:trPr>
        <w:tc>
          <w:tcPr>
            <w:tcW w:w="308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衍生品投资审批董事会公告披露日期（如有)</w:t>
            </w:r>
          </w:p>
        </w:tc>
        <w:tc>
          <w:tcPr>
            <w:tcW w:w="6554" w:type="dxa"/>
            <w:gridSpan w:val="7"/>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2022年04月27日</w:t>
            </w:r>
          </w:p>
        </w:tc>
      </w:tr>
      <w:tr w:rsidR="00F068AD" w:rsidTr="00C627C2">
        <w:trPr>
          <w:trHeight w:val="240"/>
        </w:trPr>
        <w:tc>
          <w:tcPr>
            <w:tcW w:w="308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报告期衍生品持仓的风险分析及控制措施说明（包括但不限于市场风险、流动性风险、信用风险、操作风险、法律风险等）</w:t>
            </w:r>
          </w:p>
        </w:tc>
        <w:tc>
          <w:tcPr>
            <w:tcW w:w="6554" w:type="dxa"/>
            <w:gridSpan w:val="7"/>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公司已制订了期货套期保值等相关方案，并对可能出现的价格异常波动风险、流动性风险、操作风险、信用风险及法律风险等进行了充分评估和有效控制；公司建立健全相关内控制度，规范业务操作流程、审批流程，并严格按照审核后的方案操作。</w:t>
            </w:r>
          </w:p>
        </w:tc>
      </w:tr>
      <w:tr w:rsidR="00F068AD" w:rsidTr="00C627C2">
        <w:trPr>
          <w:trHeight w:val="240"/>
        </w:trPr>
        <w:tc>
          <w:tcPr>
            <w:tcW w:w="308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已投资衍生品报告期内市场价格或产品公允价值变动的情况，对衍生品公允价值的分析应披露具体使用的方法及相关假设与参数的设定</w:t>
            </w:r>
          </w:p>
        </w:tc>
        <w:tc>
          <w:tcPr>
            <w:tcW w:w="6554" w:type="dxa"/>
            <w:gridSpan w:val="7"/>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公司开展的商品衍生品交易品种市场透明度大，成交活跃，成交价格和当日结算单价能充分反映衍生品的公允价值。</w:t>
            </w:r>
          </w:p>
        </w:tc>
      </w:tr>
      <w:tr w:rsidR="00F068AD" w:rsidTr="00C627C2">
        <w:trPr>
          <w:trHeight w:val="240"/>
        </w:trPr>
        <w:tc>
          <w:tcPr>
            <w:tcW w:w="308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报告期公司衍生品的会计政策及会计核算具体原则与上一报告期相比是否发生重大变化的说明</w:t>
            </w:r>
          </w:p>
        </w:tc>
        <w:tc>
          <w:tcPr>
            <w:tcW w:w="6554" w:type="dxa"/>
            <w:gridSpan w:val="7"/>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报告期公司衍生品的会计政策及会计核算具体原则与上一报告期相比没有发生重大变化。</w:t>
            </w:r>
          </w:p>
        </w:tc>
      </w:tr>
      <w:tr w:rsidR="00F068AD" w:rsidTr="00C627C2">
        <w:trPr>
          <w:trHeight w:val="240"/>
        </w:trPr>
        <w:tc>
          <w:tcPr>
            <w:tcW w:w="308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独立董事对公司衍生品投资及风险控制情况的专项意见</w:t>
            </w:r>
          </w:p>
        </w:tc>
        <w:tc>
          <w:tcPr>
            <w:tcW w:w="6554" w:type="dxa"/>
            <w:gridSpan w:val="7"/>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公司通过开展PTA、MEG、PF商品期货套期保值业务，可以充分利用期货市场的套期保值功能，更好地规避原材料及产品价格波动带来的风险，降低其对公司生产经营的影响。</w:t>
            </w:r>
          </w:p>
          <w:p w:rsidR="00F068AD" w:rsidRDefault="00CB63CD" w:rsidP="00C5034C">
            <w:pPr>
              <w:spacing w:line="240" w:lineRule="exact"/>
              <w:jc w:val="both"/>
              <w:rPr>
                <w:rFonts w:ascii="宋体" w:eastAsia="宋体" w:hAnsi="宋体" w:cs="宋体"/>
                <w:sz w:val="18"/>
                <w:szCs w:val="18"/>
              </w:rPr>
            </w:pPr>
            <w:r>
              <w:rPr>
                <w:rFonts w:ascii="宋体" w:eastAsia="宋体" w:hAnsi="宋体" w:cs="宋体"/>
                <w:sz w:val="18"/>
                <w:szCs w:val="18"/>
              </w:rPr>
              <w:t>公司已建立了《商品衍生品交易管理制度》，能够有效规范商品衍生品交易行为，并制定了相关风险控制措施。在保证正常生产经营的前提下，公司开展衍生品套期保值业务，有利于控制经营风险，不存在损害公司及全体股东特别是中小股东利益的情形。</w:t>
            </w:r>
          </w:p>
        </w:tc>
      </w:tr>
    </w:tbl>
    <w:p w:rsidR="00F068AD" w:rsidRDefault="00CB63CD">
      <w:pPr>
        <w:pStyle w:val="3"/>
        <w:spacing w:line="280" w:lineRule="exact"/>
        <w:jc w:val="left"/>
        <w:rPr>
          <w:rFonts w:ascii="宋体" w:hAnsi="宋体" w:cs="宋体"/>
          <w:b/>
          <w:bCs/>
        </w:rPr>
      </w:pPr>
      <w:bookmarkStart w:id="30" w:name="_Toc988919"/>
      <w:r>
        <w:rPr>
          <w:rFonts w:ascii="宋体" w:hAnsi="宋体" w:cs="宋体"/>
          <w:b/>
          <w:bCs/>
        </w:rPr>
        <w:t>5、募集资金使用情况</w:t>
      </w:r>
      <w:bookmarkEnd w:id="30"/>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公司报告期无募集资金使用情况。</w:t>
      </w:r>
    </w:p>
    <w:p w:rsidR="00F068AD" w:rsidRDefault="00CB63CD">
      <w:pPr>
        <w:pStyle w:val="2"/>
        <w:spacing w:before="300" w:after="300" w:line="320" w:lineRule="exact"/>
        <w:rPr>
          <w:rFonts w:ascii="宋体" w:eastAsia="宋体" w:hAnsi="宋体" w:cs="宋体"/>
          <w:b/>
          <w:bCs/>
          <w:sz w:val="24"/>
          <w:szCs w:val="24"/>
        </w:rPr>
      </w:pPr>
      <w:bookmarkStart w:id="31" w:name="_Toc988920"/>
      <w:r>
        <w:rPr>
          <w:rFonts w:ascii="宋体" w:eastAsia="宋体" w:hAnsi="宋体" w:cs="宋体"/>
          <w:b/>
          <w:bCs/>
          <w:sz w:val="24"/>
          <w:szCs w:val="24"/>
        </w:rPr>
        <w:t>七、重大资产和股权出售</w:t>
      </w:r>
      <w:bookmarkEnd w:id="31"/>
    </w:p>
    <w:p w:rsidR="00F068AD" w:rsidRDefault="00CB63CD">
      <w:pPr>
        <w:pStyle w:val="3"/>
        <w:spacing w:line="280" w:lineRule="exact"/>
        <w:jc w:val="left"/>
        <w:rPr>
          <w:rFonts w:ascii="宋体" w:hAnsi="宋体" w:cs="宋体"/>
          <w:b/>
          <w:bCs/>
        </w:rPr>
      </w:pPr>
      <w:bookmarkStart w:id="32" w:name="_Toc988921"/>
      <w:r>
        <w:rPr>
          <w:rFonts w:ascii="宋体" w:hAnsi="宋体" w:cs="宋体"/>
          <w:b/>
          <w:bCs/>
        </w:rPr>
        <w:t>1、出售重大资产情况</w:t>
      </w:r>
      <w:bookmarkEnd w:id="32"/>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公司报告期未出售重大资产。</w:t>
      </w:r>
    </w:p>
    <w:p w:rsidR="00F068AD" w:rsidRDefault="00CB63CD">
      <w:pPr>
        <w:pStyle w:val="3"/>
        <w:spacing w:line="280" w:lineRule="exact"/>
        <w:jc w:val="left"/>
        <w:rPr>
          <w:rFonts w:ascii="宋体" w:hAnsi="宋体" w:cs="宋体"/>
          <w:b/>
          <w:bCs/>
        </w:rPr>
      </w:pPr>
      <w:bookmarkStart w:id="33" w:name="_Toc988922"/>
      <w:r>
        <w:rPr>
          <w:rFonts w:ascii="宋体" w:hAnsi="宋体" w:cs="宋体"/>
          <w:b/>
          <w:bCs/>
        </w:rPr>
        <w:lastRenderedPageBreak/>
        <w:t>2、出售重大股权情况</w:t>
      </w:r>
      <w:bookmarkEnd w:id="33"/>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pStyle w:val="2"/>
        <w:spacing w:before="300" w:after="300" w:line="320" w:lineRule="exact"/>
        <w:rPr>
          <w:rFonts w:ascii="宋体" w:eastAsia="宋体" w:hAnsi="宋体" w:cs="宋体"/>
          <w:b/>
          <w:bCs/>
          <w:sz w:val="24"/>
          <w:szCs w:val="24"/>
        </w:rPr>
      </w:pPr>
      <w:bookmarkStart w:id="34" w:name="_Toc988923"/>
      <w:r>
        <w:rPr>
          <w:rFonts w:ascii="宋体" w:eastAsia="宋体" w:hAnsi="宋体" w:cs="宋体"/>
          <w:b/>
          <w:bCs/>
          <w:sz w:val="24"/>
          <w:szCs w:val="24"/>
        </w:rPr>
        <w:t>八、主要控股参股公司分析</w:t>
      </w:r>
      <w:bookmarkEnd w:id="34"/>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主要子公司及对公司净利润影响达10%以上的参股公司情况</w:t>
      </w:r>
    </w:p>
    <w:p w:rsidR="00F068AD" w:rsidRDefault="00CB63CD">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F068AD">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公司名称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公司类型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主要业务</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注册资本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总资产</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净资产</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营业利润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净利润</w:t>
            </w:r>
          </w:p>
        </w:tc>
      </w:tr>
      <w:tr w:rsidR="00F068AD">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子公司</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液体化工码头的建设经营及配套服务</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2600万美元</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57,116.42</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54,353.43</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12,045.75</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6,674.65</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4,907.89</w:t>
            </w:r>
          </w:p>
        </w:tc>
      </w:tr>
      <w:tr w:rsidR="00F068AD">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江阴华西村资本有限公司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子公司</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股权投资、化纤、化工产品的销售</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70000万元</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81,888.37</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78,970.99</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23,175.62</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1,408.19</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1,393.12</w:t>
            </w:r>
          </w:p>
        </w:tc>
      </w:tr>
      <w:tr w:rsidR="00F068AD">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一村资本有限公司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参股公司</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投资管理、资产管理、创业投资、实业投资</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238194万元</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525,725.24</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357,828.57</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1,641.96</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10,237.78</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7,650.35</w:t>
            </w:r>
          </w:p>
        </w:tc>
      </w:tr>
      <w:tr w:rsidR="00F068AD">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Venus Pearl SPV2 Co Limited</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参股公司</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光模块研发与生产</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50000美元</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233,069.35</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103,585.65</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73,511.52</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6,258.22</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5,301.30</w:t>
            </w:r>
          </w:p>
        </w:tc>
      </w:tr>
      <w:tr w:rsidR="00F068AD">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江苏银行股份有限公司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参股公司</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吸收公众存款，发放贷款等业务</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1476965万元</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261,887,426.00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19,805,574.80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6,377,135.30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2,640,828.30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2,040,926.00</w:t>
            </w:r>
          </w:p>
        </w:tc>
      </w:tr>
      <w:tr w:rsidR="00F068AD">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华泰证券股份有限公司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参股公司</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证券经纪业务</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907665万元</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80,665,083.27</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15,203,578.40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3,790,544.37</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1,633,882.07</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1,360,089.40</w:t>
            </w:r>
          </w:p>
        </w:tc>
      </w:tr>
      <w:tr w:rsidR="00F068AD">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联储证券有限责任公司</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参股公司</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证券经纪业务</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323981万元</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2,062,663.85</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784,364.72</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24,219.20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-11,788.40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rsidP="004A47C6">
            <w:pPr>
              <w:spacing w:line="240" w:lineRule="exact"/>
              <w:jc w:val="right"/>
              <w:rPr>
                <w:rFonts w:ascii="宋体" w:eastAsia="宋体" w:hAnsi="宋体" w:cs="宋体"/>
                <w:sz w:val="18"/>
                <w:szCs w:val="18"/>
              </w:rPr>
            </w:pPr>
            <w:r>
              <w:rPr>
                <w:rFonts w:ascii="宋体" w:eastAsia="宋体" w:hAnsi="宋体" w:cs="宋体"/>
                <w:sz w:val="18"/>
                <w:szCs w:val="18"/>
              </w:rPr>
              <w:t>-8,9</w:t>
            </w:r>
            <w:r w:rsidR="004A47C6">
              <w:rPr>
                <w:rFonts w:ascii="宋体" w:eastAsia="宋体" w:hAnsi="宋体" w:cs="宋体" w:hint="eastAsia"/>
                <w:sz w:val="18"/>
                <w:szCs w:val="18"/>
              </w:rPr>
              <w:t>12</w:t>
            </w:r>
            <w:r>
              <w:rPr>
                <w:rFonts w:ascii="宋体" w:eastAsia="宋体" w:hAnsi="宋体" w:cs="宋体"/>
                <w:sz w:val="18"/>
                <w:szCs w:val="18"/>
              </w:rPr>
              <w:t>.</w:t>
            </w:r>
            <w:r w:rsidR="004A47C6">
              <w:rPr>
                <w:rFonts w:ascii="宋体" w:eastAsia="宋体" w:hAnsi="宋体" w:cs="宋体" w:hint="eastAsia"/>
                <w:sz w:val="18"/>
                <w:szCs w:val="18"/>
              </w:rPr>
              <w:t>01</w:t>
            </w:r>
          </w:p>
        </w:tc>
      </w:tr>
    </w:tbl>
    <w:p w:rsidR="009426A4" w:rsidRPr="009426A4" w:rsidRDefault="009426A4" w:rsidP="009426A4">
      <w:pPr>
        <w:spacing w:before="100" w:after="100" w:line="240" w:lineRule="exact"/>
        <w:rPr>
          <w:rFonts w:ascii="宋体" w:eastAsia="宋体" w:hAnsi="宋体" w:cs="宋体"/>
          <w:sz w:val="18"/>
          <w:szCs w:val="18"/>
        </w:rPr>
      </w:pPr>
      <w:r w:rsidRPr="009426A4">
        <w:rPr>
          <w:rFonts w:ascii="宋体" w:eastAsia="宋体" w:hAnsi="宋体" w:cs="宋体" w:hint="eastAsia"/>
          <w:sz w:val="18"/>
          <w:szCs w:val="18"/>
        </w:rPr>
        <w:t>注：</w:t>
      </w:r>
      <w:r>
        <w:rPr>
          <w:rFonts w:ascii="宋体" w:eastAsia="宋体" w:hAnsi="宋体" w:cs="宋体" w:hint="eastAsia"/>
          <w:sz w:val="18"/>
          <w:szCs w:val="18"/>
        </w:rPr>
        <w:t>上述</w:t>
      </w:r>
      <w:r w:rsidRPr="009426A4">
        <w:rPr>
          <w:rFonts w:ascii="宋体" w:eastAsia="宋体" w:hAnsi="宋体" w:cs="宋体" w:hint="eastAsia"/>
          <w:sz w:val="18"/>
          <w:szCs w:val="18"/>
        </w:rPr>
        <w:t>江苏银行、华泰证券财务数据来源于其</w:t>
      </w:r>
      <w:r w:rsidRPr="009426A4">
        <w:rPr>
          <w:rFonts w:ascii="宋体" w:eastAsia="宋体" w:hAnsi="宋体" w:cs="宋体"/>
          <w:sz w:val="18"/>
          <w:szCs w:val="18"/>
        </w:rPr>
        <w:t>202</w:t>
      </w:r>
      <w:r w:rsidRPr="009426A4">
        <w:rPr>
          <w:rFonts w:ascii="宋体" w:eastAsia="宋体" w:hAnsi="宋体" w:cs="宋体" w:hint="eastAsia"/>
          <w:sz w:val="18"/>
          <w:szCs w:val="18"/>
        </w:rPr>
        <w:t>1年度审计报告，其余</w:t>
      </w:r>
      <w:r>
        <w:rPr>
          <w:rFonts w:ascii="宋体" w:eastAsia="宋体" w:hAnsi="宋体" w:cs="宋体" w:hint="eastAsia"/>
          <w:sz w:val="18"/>
          <w:szCs w:val="18"/>
        </w:rPr>
        <w:t>公司</w:t>
      </w:r>
      <w:r w:rsidRPr="009426A4">
        <w:rPr>
          <w:rFonts w:ascii="宋体" w:eastAsia="宋体" w:hAnsi="宋体" w:cs="宋体" w:hint="eastAsia"/>
          <w:sz w:val="18"/>
          <w:szCs w:val="18"/>
        </w:rPr>
        <w:t>财务数据来源于其</w:t>
      </w:r>
      <w:r w:rsidRPr="009426A4">
        <w:rPr>
          <w:rFonts w:ascii="宋体" w:eastAsia="宋体" w:hAnsi="宋体" w:cs="宋体"/>
          <w:sz w:val="18"/>
          <w:szCs w:val="18"/>
        </w:rPr>
        <w:t>202</w:t>
      </w:r>
      <w:r w:rsidRPr="009426A4">
        <w:rPr>
          <w:rFonts w:ascii="宋体" w:eastAsia="宋体" w:hAnsi="宋体" w:cs="宋体" w:hint="eastAsia"/>
          <w:sz w:val="18"/>
          <w:szCs w:val="18"/>
        </w:rPr>
        <w:t>2年半年度未经审计财务报表。</w:t>
      </w:r>
    </w:p>
    <w:p w:rsidR="00C627C2" w:rsidRPr="009426A4" w:rsidRDefault="00C627C2">
      <w:pPr>
        <w:spacing w:before="100" w:after="100" w:line="240" w:lineRule="exact"/>
        <w:rPr>
          <w:rFonts w:ascii="宋体" w:eastAsia="宋体" w:hAnsi="宋体" w:cs="宋体"/>
          <w:sz w:val="18"/>
          <w:szCs w:val="18"/>
        </w:rPr>
      </w:pP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报告期内取得和处置子公司的情况</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pStyle w:val="2"/>
        <w:spacing w:before="300" w:after="300" w:line="320" w:lineRule="exact"/>
        <w:rPr>
          <w:rFonts w:ascii="宋体" w:eastAsia="宋体" w:hAnsi="宋体" w:cs="宋体"/>
          <w:b/>
          <w:bCs/>
          <w:sz w:val="24"/>
          <w:szCs w:val="24"/>
        </w:rPr>
      </w:pPr>
      <w:bookmarkStart w:id="35" w:name="_Toc988924"/>
      <w:r>
        <w:rPr>
          <w:rFonts w:ascii="宋体" w:eastAsia="宋体" w:hAnsi="宋体" w:cs="宋体"/>
          <w:b/>
          <w:bCs/>
          <w:sz w:val="24"/>
          <w:szCs w:val="24"/>
        </w:rPr>
        <w:t>九、公司控制的结构化主体情况</w:t>
      </w:r>
      <w:bookmarkEnd w:id="35"/>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CB63CD" w:rsidRDefault="00CB63CD">
      <w:pPr>
        <w:pStyle w:val="a3"/>
        <w:spacing w:before="40" w:beforeAutospacing="0" w:after="40" w:afterAutospacing="0"/>
        <w:ind w:firstLine="360"/>
        <w:jc w:val="both"/>
        <w:divId w:val="1592351605"/>
        <w:rPr>
          <w:rFonts w:ascii="Times New Roman" w:hAnsi="Times New Roman" w:cs="Times New Roman"/>
          <w:sz w:val="18"/>
          <w:szCs w:val="18"/>
        </w:rPr>
      </w:pPr>
      <w:r>
        <w:rPr>
          <w:rFonts w:cs="Times New Roman" w:hint="eastAsia"/>
          <w:sz w:val="18"/>
          <w:szCs w:val="18"/>
        </w:rPr>
        <w:t>报告期末纳入公司合并范围的结构化主体共</w:t>
      </w:r>
      <w:r>
        <w:rPr>
          <w:rFonts w:ascii="Times New Roman" w:hAnsi="Times New Roman" w:cs="Times New Roman"/>
          <w:sz w:val="18"/>
          <w:szCs w:val="18"/>
        </w:rPr>
        <w:t>1</w:t>
      </w:r>
      <w:r>
        <w:rPr>
          <w:rFonts w:cs="Times New Roman" w:hint="eastAsia"/>
          <w:sz w:val="18"/>
          <w:szCs w:val="18"/>
        </w:rPr>
        <w:t>户，为上海启澜企业管理咨询合伙企业（有限合伙），总规模：</w:t>
      </w:r>
      <w:r>
        <w:rPr>
          <w:rFonts w:ascii="Times New Roman" w:hAnsi="Times New Roman" w:cs="Times New Roman"/>
          <w:sz w:val="18"/>
          <w:szCs w:val="18"/>
        </w:rPr>
        <w:t>115,000</w:t>
      </w:r>
      <w:r>
        <w:rPr>
          <w:rFonts w:cs="Times New Roman" w:hint="eastAsia"/>
          <w:sz w:val="18"/>
          <w:szCs w:val="18"/>
        </w:rPr>
        <w:t>万元，公司作为有限合伙人认缴出资</w:t>
      </w:r>
      <w:r>
        <w:rPr>
          <w:rFonts w:ascii="Times New Roman" w:hAnsi="Times New Roman" w:cs="Times New Roman"/>
          <w:sz w:val="18"/>
          <w:szCs w:val="18"/>
        </w:rPr>
        <w:t>114,200</w:t>
      </w:r>
      <w:r>
        <w:rPr>
          <w:rFonts w:cs="Times New Roman" w:hint="eastAsia"/>
          <w:sz w:val="18"/>
          <w:szCs w:val="18"/>
        </w:rPr>
        <w:t>万元，占上海启澜总规模的</w:t>
      </w:r>
      <w:r>
        <w:rPr>
          <w:rFonts w:ascii="Times New Roman" w:hAnsi="Times New Roman" w:cs="Times New Roman"/>
          <w:sz w:val="18"/>
          <w:szCs w:val="18"/>
        </w:rPr>
        <w:t>99.30%</w:t>
      </w:r>
      <w:r>
        <w:rPr>
          <w:rFonts w:cs="Times New Roman" w:hint="eastAsia"/>
          <w:sz w:val="18"/>
          <w:szCs w:val="18"/>
        </w:rPr>
        <w:t>；上海一村安识企业管理有限公司作为普通合伙人认缴出资</w:t>
      </w:r>
      <w:r>
        <w:rPr>
          <w:rFonts w:ascii="Times New Roman" w:hAnsi="Times New Roman" w:cs="Times New Roman"/>
          <w:sz w:val="18"/>
          <w:szCs w:val="18"/>
        </w:rPr>
        <w:t>800</w:t>
      </w:r>
      <w:r>
        <w:rPr>
          <w:rFonts w:cs="Times New Roman" w:hint="eastAsia"/>
          <w:sz w:val="18"/>
          <w:szCs w:val="18"/>
        </w:rPr>
        <w:t>万元，占上海启澜总规模的</w:t>
      </w:r>
      <w:r>
        <w:rPr>
          <w:rFonts w:ascii="Times New Roman" w:hAnsi="Times New Roman" w:cs="Times New Roman"/>
          <w:sz w:val="18"/>
          <w:szCs w:val="18"/>
        </w:rPr>
        <w:t>0.70%</w:t>
      </w:r>
      <w:r>
        <w:rPr>
          <w:rFonts w:cs="Times New Roman" w:hint="eastAsia"/>
          <w:sz w:val="18"/>
          <w:szCs w:val="18"/>
        </w:rPr>
        <w:t>。公司向上海启澜实缴出资人民币</w:t>
      </w:r>
      <w:r>
        <w:rPr>
          <w:rFonts w:ascii="Times New Roman" w:hAnsi="Times New Roman" w:cs="Times New Roman"/>
          <w:sz w:val="18"/>
          <w:szCs w:val="18"/>
        </w:rPr>
        <w:t>96,250</w:t>
      </w:r>
      <w:r>
        <w:rPr>
          <w:rFonts w:cs="Times New Roman" w:hint="eastAsia"/>
          <w:sz w:val="18"/>
          <w:szCs w:val="18"/>
        </w:rPr>
        <w:t>万元。</w:t>
      </w:r>
    </w:p>
    <w:p w:rsidR="00CB63CD" w:rsidRDefault="00CB63CD">
      <w:pPr>
        <w:pStyle w:val="a3"/>
        <w:spacing w:before="40" w:beforeAutospacing="0" w:after="40" w:afterAutospacing="0"/>
        <w:ind w:firstLine="360"/>
        <w:jc w:val="both"/>
        <w:divId w:val="1592351605"/>
        <w:rPr>
          <w:rFonts w:ascii="Times New Roman" w:hAnsi="Times New Roman" w:cs="Times New Roman"/>
          <w:sz w:val="18"/>
          <w:szCs w:val="18"/>
        </w:rPr>
      </w:pPr>
      <w:r>
        <w:rPr>
          <w:rFonts w:cs="Times New Roman" w:hint="eastAsia"/>
          <w:sz w:val="18"/>
          <w:szCs w:val="18"/>
        </w:rPr>
        <w:lastRenderedPageBreak/>
        <w:t>利润分配：上海启澜从其直接或间接处置索尔思项目</w:t>
      </w:r>
      <w:r>
        <w:rPr>
          <w:rFonts w:ascii="Times New Roman" w:hAnsi="Times New Roman" w:cs="Times New Roman"/>
          <w:sz w:val="18"/>
          <w:szCs w:val="18"/>
        </w:rPr>
        <w:t>(</w:t>
      </w:r>
      <w:r>
        <w:rPr>
          <w:rFonts w:cs="Times New Roman" w:hint="eastAsia"/>
          <w:sz w:val="18"/>
          <w:szCs w:val="18"/>
        </w:rPr>
        <w:t>包括但不限于处置其在</w:t>
      </w:r>
      <w:r>
        <w:rPr>
          <w:rFonts w:ascii="Times New Roman" w:hAnsi="Times New Roman" w:cs="Times New Roman"/>
          <w:sz w:val="18"/>
          <w:szCs w:val="18"/>
        </w:rPr>
        <w:t>Diamond Hill, L.P.</w:t>
      </w:r>
      <w:r>
        <w:rPr>
          <w:rFonts w:cs="Times New Roman" w:hint="eastAsia"/>
          <w:sz w:val="18"/>
          <w:szCs w:val="18"/>
        </w:rPr>
        <w:t>的合伙份额或其他权益</w:t>
      </w:r>
      <w:r>
        <w:rPr>
          <w:rFonts w:ascii="Times New Roman" w:hAnsi="Times New Roman" w:cs="Times New Roman"/>
          <w:sz w:val="18"/>
          <w:szCs w:val="18"/>
        </w:rPr>
        <w:t>)</w:t>
      </w:r>
      <w:r>
        <w:rPr>
          <w:rFonts w:cs="Times New Roman" w:hint="eastAsia"/>
          <w:sz w:val="18"/>
          <w:szCs w:val="18"/>
        </w:rPr>
        <w:t>获得的收入或从其投资运营活动</w:t>
      </w:r>
      <w:r>
        <w:rPr>
          <w:rFonts w:ascii="Times New Roman" w:hAnsi="Times New Roman" w:cs="Times New Roman"/>
          <w:sz w:val="18"/>
          <w:szCs w:val="18"/>
        </w:rPr>
        <w:t>(</w:t>
      </w:r>
      <w:r>
        <w:rPr>
          <w:rFonts w:cs="Times New Roman" w:hint="eastAsia"/>
          <w:sz w:val="18"/>
          <w:szCs w:val="18"/>
        </w:rPr>
        <w:t>包括与索尔思项目相关的投资</w:t>
      </w:r>
      <w:r>
        <w:rPr>
          <w:rFonts w:ascii="Times New Roman" w:hAnsi="Times New Roman" w:cs="Times New Roman"/>
          <w:sz w:val="18"/>
          <w:szCs w:val="18"/>
        </w:rPr>
        <w:t>)</w:t>
      </w:r>
      <w:r>
        <w:rPr>
          <w:rFonts w:cs="Times New Roman" w:hint="eastAsia"/>
          <w:sz w:val="18"/>
          <w:szCs w:val="18"/>
        </w:rPr>
        <w:t>获得的分红、股息、利息、其他类似的现金收入在扣除为支付相关税费、债务、其他义务以及为将来可能发生的该等税费、债务、合伙企业费用和其他义务进行合理的预留适当的金额后可供分配的部分，应在经全体合伙人协商一致的合理时间内按照以下分配原则和顺序进行分配：</w:t>
      </w:r>
    </w:p>
    <w:p w:rsidR="00CB63CD" w:rsidRDefault="00CB63CD">
      <w:pPr>
        <w:pStyle w:val="a3"/>
        <w:spacing w:before="40" w:beforeAutospacing="0" w:after="40" w:afterAutospacing="0"/>
        <w:ind w:firstLine="360"/>
        <w:jc w:val="both"/>
        <w:divId w:val="1592351605"/>
        <w:rPr>
          <w:rFonts w:ascii="Times New Roman" w:hAnsi="Times New Roman" w:cs="Times New Roman"/>
          <w:sz w:val="18"/>
          <w:szCs w:val="18"/>
        </w:rPr>
      </w:pPr>
      <w:r>
        <w:rPr>
          <w:rFonts w:cs="Times New Roman" w:hint="eastAsia"/>
          <w:sz w:val="18"/>
          <w:szCs w:val="18"/>
        </w:rPr>
        <w:t>（</w:t>
      </w:r>
      <w:r>
        <w:rPr>
          <w:rFonts w:ascii="Times New Roman" w:hAnsi="Times New Roman" w:cs="Times New Roman"/>
          <w:sz w:val="18"/>
          <w:szCs w:val="18"/>
        </w:rPr>
        <w:t>1</w:t>
      </w:r>
      <w:r>
        <w:rPr>
          <w:rFonts w:cs="Times New Roman" w:hint="eastAsia"/>
          <w:sz w:val="18"/>
          <w:szCs w:val="18"/>
        </w:rPr>
        <w:t>）首先，百分之百向华西股份进行分配</w:t>
      </w:r>
      <w:r w:rsidR="00C137CF">
        <w:rPr>
          <w:rFonts w:ascii="Times New Roman" w:hAnsi="Times New Roman" w:cs="Times New Roman"/>
          <w:sz w:val="18"/>
          <w:szCs w:val="18"/>
        </w:rPr>
        <w:t>，</w:t>
      </w:r>
      <w:r>
        <w:rPr>
          <w:rFonts w:cs="Times New Roman" w:hint="eastAsia"/>
          <w:sz w:val="18"/>
          <w:szCs w:val="18"/>
        </w:rPr>
        <w:t>直至华西股份所取得的累计分配等于其用于索尔思项目的实缴出资额；</w:t>
      </w:r>
    </w:p>
    <w:p w:rsidR="00CB63CD" w:rsidRDefault="00CB63CD">
      <w:pPr>
        <w:pStyle w:val="a3"/>
        <w:spacing w:before="40" w:beforeAutospacing="0" w:after="40" w:afterAutospacing="0"/>
        <w:ind w:firstLine="360"/>
        <w:jc w:val="both"/>
        <w:divId w:val="1592351605"/>
        <w:rPr>
          <w:rFonts w:ascii="Times New Roman" w:hAnsi="Times New Roman" w:cs="Times New Roman"/>
          <w:sz w:val="18"/>
          <w:szCs w:val="18"/>
        </w:rPr>
      </w:pPr>
      <w:r>
        <w:rPr>
          <w:rFonts w:cs="Times New Roman" w:hint="eastAsia"/>
          <w:sz w:val="18"/>
          <w:szCs w:val="18"/>
        </w:rPr>
        <w:t>（</w:t>
      </w:r>
      <w:r>
        <w:rPr>
          <w:rFonts w:ascii="Times New Roman" w:hAnsi="Times New Roman" w:cs="Times New Roman"/>
          <w:sz w:val="18"/>
          <w:szCs w:val="18"/>
        </w:rPr>
        <w:t>2</w:t>
      </w:r>
      <w:r>
        <w:rPr>
          <w:rFonts w:cs="Times New Roman" w:hint="eastAsia"/>
          <w:sz w:val="18"/>
          <w:szCs w:val="18"/>
        </w:rPr>
        <w:t>）其次，百分之百向华西股份进行分配</w:t>
      </w:r>
      <w:r>
        <w:rPr>
          <w:rFonts w:ascii="Times New Roman" w:hAnsi="Times New Roman" w:cs="Times New Roman"/>
          <w:sz w:val="18"/>
          <w:szCs w:val="18"/>
        </w:rPr>
        <w:t>,</w:t>
      </w:r>
      <w:r>
        <w:rPr>
          <w:rFonts w:cs="Times New Roman" w:hint="eastAsia"/>
          <w:sz w:val="18"/>
          <w:szCs w:val="18"/>
        </w:rPr>
        <w:t>直至其就上述第（</w:t>
      </w:r>
      <w:r>
        <w:rPr>
          <w:rFonts w:ascii="Times New Roman" w:hAnsi="Times New Roman" w:cs="Times New Roman"/>
          <w:sz w:val="18"/>
          <w:szCs w:val="18"/>
        </w:rPr>
        <w:t>1</w:t>
      </w:r>
      <w:r>
        <w:rPr>
          <w:rFonts w:cs="Times New Roman" w:hint="eastAsia"/>
          <w:sz w:val="18"/>
          <w:szCs w:val="18"/>
        </w:rPr>
        <w:t>）款项下累计获得的分配额获得每年百分之八的单利计算所得的门槛收益</w:t>
      </w:r>
      <w:r>
        <w:rPr>
          <w:rFonts w:ascii="Times New Roman" w:hAnsi="Times New Roman" w:cs="Times New Roman"/>
          <w:sz w:val="18"/>
          <w:szCs w:val="18"/>
        </w:rPr>
        <w:t>(“</w:t>
      </w:r>
      <w:r>
        <w:rPr>
          <w:rFonts w:cs="Times New Roman" w:hint="eastAsia"/>
          <w:sz w:val="18"/>
          <w:szCs w:val="18"/>
        </w:rPr>
        <w:t>门槛收益</w:t>
      </w:r>
      <w:r>
        <w:rPr>
          <w:rFonts w:ascii="Times New Roman" w:hAnsi="Times New Roman" w:cs="Times New Roman"/>
          <w:sz w:val="18"/>
          <w:szCs w:val="18"/>
        </w:rPr>
        <w:t>”)</w:t>
      </w:r>
      <w:r>
        <w:rPr>
          <w:rFonts w:cs="Times New Roman" w:hint="eastAsia"/>
          <w:sz w:val="18"/>
          <w:szCs w:val="18"/>
        </w:rPr>
        <w:t>。门槛收益的计算期间为华西股份每一期实缴出资额的缴资到期日</w:t>
      </w:r>
      <w:r>
        <w:rPr>
          <w:rFonts w:ascii="Times New Roman" w:hAnsi="Times New Roman" w:cs="Times New Roman"/>
          <w:sz w:val="18"/>
          <w:szCs w:val="18"/>
        </w:rPr>
        <w:t>(</w:t>
      </w:r>
      <w:r>
        <w:rPr>
          <w:rFonts w:cs="Times New Roman" w:hint="eastAsia"/>
          <w:sz w:val="18"/>
          <w:szCs w:val="18"/>
        </w:rPr>
        <w:t>或实际出资日，如更晚</w:t>
      </w:r>
      <w:r>
        <w:rPr>
          <w:rFonts w:ascii="Times New Roman" w:hAnsi="Times New Roman" w:cs="Times New Roman"/>
          <w:sz w:val="18"/>
          <w:szCs w:val="18"/>
        </w:rPr>
        <w:t>)</w:t>
      </w:r>
      <w:r>
        <w:rPr>
          <w:rFonts w:cs="Times New Roman" w:hint="eastAsia"/>
          <w:sz w:val="18"/>
          <w:szCs w:val="18"/>
        </w:rPr>
        <w:t>起至华西股份根据上述第（</w:t>
      </w:r>
      <w:r>
        <w:rPr>
          <w:rFonts w:ascii="Times New Roman" w:hAnsi="Times New Roman" w:cs="Times New Roman"/>
          <w:sz w:val="18"/>
          <w:szCs w:val="18"/>
        </w:rPr>
        <w:t>1</w:t>
      </w:r>
      <w:r>
        <w:rPr>
          <w:rFonts w:cs="Times New Roman" w:hint="eastAsia"/>
          <w:sz w:val="18"/>
          <w:szCs w:val="18"/>
        </w:rPr>
        <w:t>）款收回该部分实缴出资额之日止（为计算门槛收益之目的，一年以三百六十日计算</w:t>
      </w:r>
      <w:r>
        <w:rPr>
          <w:rFonts w:ascii="Times New Roman" w:hAnsi="Times New Roman" w:cs="Times New Roman"/>
          <w:sz w:val="18"/>
          <w:szCs w:val="18"/>
        </w:rPr>
        <w:t xml:space="preserve">, </w:t>
      </w:r>
      <w:r>
        <w:rPr>
          <w:rFonts w:cs="Times New Roman" w:hint="eastAsia"/>
          <w:sz w:val="18"/>
          <w:szCs w:val="18"/>
        </w:rPr>
        <w:t>即门槛收益每日费率</w:t>
      </w:r>
      <w:r>
        <w:rPr>
          <w:rFonts w:ascii="Times New Roman" w:hAnsi="Times New Roman" w:cs="Times New Roman"/>
          <w:sz w:val="18"/>
          <w:szCs w:val="18"/>
        </w:rPr>
        <w:t>=</w:t>
      </w:r>
      <w:r>
        <w:rPr>
          <w:rFonts w:cs="Times New Roman" w:hint="eastAsia"/>
          <w:sz w:val="18"/>
          <w:szCs w:val="18"/>
        </w:rPr>
        <w:t>门槛收益每年费率</w:t>
      </w:r>
      <w:r>
        <w:rPr>
          <w:rFonts w:ascii="Times New Roman" w:hAnsi="Times New Roman" w:cs="Times New Roman"/>
          <w:sz w:val="18"/>
          <w:szCs w:val="18"/>
        </w:rPr>
        <w:t>/360</w:t>
      </w:r>
      <w:r>
        <w:rPr>
          <w:rFonts w:cs="Times New Roman" w:hint="eastAsia"/>
          <w:sz w:val="18"/>
          <w:szCs w:val="18"/>
        </w:rPr>
        <w:t>）；</w:t>
      </w:r>
    </w:p>
    <w:p w:rsidR="00CB63CD" w:rsidRDefault="00CB63CD">
      <w:pPr>
        <w:pStyle w:val="a3"/>
        <w:spacing w:before="40" w:beforeAutospacing="0" w:after="40" w:afterAutospacing="0"/>
        <w:ind w:firstLine="360"/>
        <w:jc w:val="both"/>
        <w:divId w:val="1592351605"/>
        <w:rPr>
          <w:rFonts w:ascii="Times New Roman" w:hAnsi="Times New Roman" w:cs="Times New Roman"/>
          <w:sz w:val="18"/>
          <w:szCs w:val="18"/>
        </w:rPr>
      </w:pPr>
      <w:r>
        <w:rPr>
          <w:rFonts w:cs="Times New Roman" w:hint="eastAsia"/>
          <w:sz w:val="18"/>
          <w:szCs w:val="18"/>
        </w:rPr>
        <w:t>（</w:t>
      </w:r>
      <w:r>
        <w:rPr>
          <w:rFonts w:ascii="Times New Roman" w:hAnsi="Times New Roman" w:cs="Times New Roman"/>
          <w:sz w:val="18"/>
          <w:szCs w:val="18"/>
        </w:rPr>
        <w:t>3</w:t>
      </w:r>
      <w:r>
        <w:rPr>
          <w:rFonts w:cs="Times New Roman" w:hint="eastAsia"/>
          <w:sz w:val="18"/>
          <w:szCs w:val="18"/>
        </w:rPr>
        <w:t>）再次，剩余部分百分之二十分配给上海一村安识企业管理有限公司，百分之八十分配给华西股份。</w:t>
      </w:r>
    </w:p>
    <w:p w:rsidR="00F068AD" w:rsidRDefault="00CB63CD">
      <w:pPr>
        <w:pStyle w:val="2"/>
        <w:spacing w:before="300" w:after="300" w:line="320" w:lineRule="exact"/>
        <w:rPr>
          <w:rFonts w:ascii="宋体" w:eastAsia="宋体" w:hAnsi="宋体" w:cs="宋体"/>
          <w:b/>
          <w:bCs/>
          <w:sz w:val="24"/>
          <w:szCs w:val="24"/>
        </w:rPr>
      </w:pPr>
      <w:bookmarkStart w:id="36" w:name="_Toc988925"/>
      <w:r>
        <w:rPr>
          <w:rFonts w:ascii="宋体" w:eastAsia="宋体" w:hAnsi="宋体" w:cs="宋体"/>
          <w:b/>
          <w:bCs/>
          <w:sz w:val="24"/>
          <w:szCs w:val="24"/>
        </w:rPr>
        <w:t>十、公司面临的风险和应对措施</w:t>
      </w:r>
      <w:bookmarkEnd w:id="36"/>
    </w:p>
    <w:p w:rsidR="00CB63CD" w:rsidRDefault="00CB63CD">
      <w:pPr>
        <w:pStyle w:val="a3"/>
        <w:spacing w:before="0" w:beforeAutospacing="0" w:after="0" w:afterAutospacing="0"/>
        <w:ind w:firstLine="360"/>
        <w:jc w:val="both"/>
        <w:divId w:val="974214275"/>
        <w:rPr>
          <w:rFonts w:ascii="Times New Roman" w:hAnsi="Times New Roman" w:cs="Times New Roman"/>
          <w:sz w:val="18"/>
          <w:szCs w:val="18"/>
        </w:rPr>
      </w:pPr>
      <w:r>
        <w:rPr>
          <w:rFonts w:cs="Times New Roman" w:hint="eastAsia"/>
          <w:sz w:val="18"/>
          <w:szCs w:val="18"/>
        </w:rPr>
        <w:t>（</w:t>
      </w:r>
      <w:r>
        <w:rPr>
          <w:rFonts w:ascii="Times New Roman" w:hAnsi="Times New Roman" w:cs="Times New Roman"/>
          <w:sz w:val="18"/>
          <w:szCs w:val="18"/>
        </w:rPr>
        <w:t>1</w:t>
      </w:r>
      <w:r>
        <w:rPr>
          <w:rFonts w:cs="Times New Roman" w:hint="eastAsia"/>
          <w:sz w:val="18"/>
          <w:szCs w:val="18"/>
        </w:rPr>
        <w:t>）宏观政策风险</w:t>
      </w:r>
    </w:p>
    <w:p w:rsidR="00CB63CD" w:rsidRDefault="00CB63CD">
      <w:pPr>
        <w:pStyle w:val="a3"/>
        <w:spacing w:before="0" w:beforeAutospacing="0" w:after="0" w:afterAutospacing="0"/>
        <w:ind w:firstLine="360"/>
        <w:jc w:val="both"/>
        <w:divId w:val="974214275"/>
        <w:rPr>
          <w:rFonts w:ascii="Times New Roman" w:hAnsi="Times New Roman" w:cs="Times New Roman"/>
          <w:sz w:val="18"/>
          <w:szCs w:val="18"/>
        </w:rPr>
      </w:pPr>
      <w:r>
        <w:rPr>
          <w:rFonts w:cs="Times New Roman" w:hint="eastAsia"/>
          <w:sz w:val="18"/>
          <w:szCs w:val="18"/>
        </w:rPr>
        <w:t>公司所处的纺织化纤行业与国民经济和国民生活息息相关，受到政府和社会各界的密切关注，同时，公司产品市场是全球性市场，汇率的波动将会对公司外销利润带来不确定影响。从长期看，宏观调控措施将影响纺织化纤市场的总体供求关系、产品供应结构等，并可能使相关市场短期内产生较大波动。如果公司不能适应国家的宏观调控政策并及时做出相应的业务策略调整，将可能对公司的经营成果和未来发展构成不利影响。</w:t>
      </w:r>
    </w:p>
    <w:p w:rsidR="00CB63CD" w:rsidRDefault="00CB63CD">
      <w:pPr>
        <w:pStyle w:val="a3"/>
        <w:spacing w:before="0" w:beforeAutospacing="0" w:after="0" w:afterAutospacing="0"/>
        <w:ind w:firstLine="360"/>
        <w:jc w:val="both"/>
        <w:divId w:val="974214275"/>
        <w:rPr>
          <w:rFonts w:ascii="Times New Roman" w:hAnsi="Times New Roman" w:cs="Times New Roman"/>
          <w:sz w:val="18"/>
          <w:szCs w:val="18"/>
        </w:rPr>
      </w:pPr>
      <w:r>
        <w:rPr>
          <w:rFonts w:cs="Times New Roman" w:hint="eastAsia"/>
          <w:sz w:val="18"/>
          <w:szCs w:val="18"/>
        </w:rPr>
        <w:t>（</w:t>
      </w:r>
      <w:r>
        <w:rPr>
          <w:rFonts w:ascii="Times New Roman" w:hAnsi="Times New Roman" w:cs="Times New Roman"/>
          <w:sz w:val="18"/>
          <w:szCs w:val="18"/>
        </w:rPr>
        <w:t>2</w:t>
      </w:r>
      <w:r>
        <w:rPr>
          <w:rFonts w:cs="Times New Roman" w:hint="eastAsia"/>
          <w:sz w:val="18"/>
          <w:szCs w:val="18"/>
        </w:rPr>
        <w:t>）日常经营和管理风险</w:t>
      </w:r>
    </w:p>
    <w:p w:rsidR="00CB63CD" w:rsidRDefault="00CB63CD">
      <w:pPr>
        <w:pStyle w:val="a3"/>
        <w:spacing w:before="0" w:beforeAutospacing="0" w:after="0" w:afterAutospacing="0"/>
        <w:ind w:firstLine="360"/>
        <w:jc w:val="both"/>
        <w:divId w:val="974214275"/>
        <w:rPr>
          <w:rFonts w:ascii="Times New Roman" w:hAnsi="Times New Roman" w:cs="Times New Roman"/>
          <w:sz w:val="18"/>
          <w:szCs w:val="18"/>
        </w:rPr>
      </w:pPr>
      <w:r>
        <w:rPr>
          <w:rFonts w:cs="Times New Roman" w:hint="eastAsia"/>
          <w:sz w:val="18"/>
          <w:szCs w:val="18"/>
        </w:rPr>
        <w:t>①化纤行业周期性波动风险</w:t>
      </w:r>
    </w:p>
    <w:p w:rsidR="00CB63CD" w:rsidRDefault="00CB63CD">
      <w:pPr>
        <w:pStyle w:val="a3"/>
        <w:spacing w:before="0" w:beforeAutospacing="0" w:after="0" w:afterAutospacing="0"/>
        <w:ind w:firstLine="360"/>
        <w:jc w:val="both"/>
        <w:divId w:val="974214275"/>
        <w:rPr>
          <w:rFonts w:ascii="Times New Roman" w:hAnsi="Times New Roman" w:cs="Times New Roman"/>
          <w:sz w:val="18"/>
          <w:szCs w:val="18"/>
        </w:rPr>
      </w:pPr>
      <w:r>
        <w:rPr>
          <w:rFonts w:cs="Times New Roman" w:hint="eastAsia"/>
          <w:sz w:val="18"/>
          <w:szCs w:val="18"/>
        </w:rPr>
        <w:t>公司的生产经营主要受上游石化行业供给、下游纺织行业供需关系以及自身发展状况的影响，而呈现一定的周期特征。由于化纤行业的上下游</w:t>
      </w:r>
      <w:r>
        <w:rPr>
          <w:rFonts w:ascii="Times New Roman" w:hAnsi="Times New Roman" w:cs="Times New Roman"/>
          <w:sz w:val="18"/>
          <w:szCs w:val="18"/>
        </w:rPr>
        <w:t>——</w:t>
      </w:r>
      <w:r>
        <w:rPr>
          <w:rFonts w:cs="Times New Roman" w:hint="eastAsia"/>
          <w:sz w:val="18"/>
          <w:szCs w:val="18"/>
        </w:rPr>
        <w:t>石化和纺织分属周期性行业和出口导向型行业，因此化纤行业整体发展存在明显的周期性波动，公司下游客户是劳动密集型和出口依赖型行业，受整体行业影响及上下游产品价格影响，公司主要产品涤纶短纤维的价格也呈波动态势，产品价格波动对公司经营业绩的影响非常显著，公司未来的经营业绩同样将面临产品市场价格周期性波动的风险。</w:t>
      </w:r>
    </w:p>
    <w:p w:rsidR="00CB63CD" w:rsidRDefault="00CB63CD">
      <w:pPr>
        <w:pStyle w:val="a3"/>
        <w:spacing w:before="0" w:beforeAutospacing="0" w:after="0" w:afterAutospacing="0"/>
        <w:ind w:firstLine="360"/>
        <w:jc w:val="both"/>
        <w:divId w:val="974214275"/>
        <w:rPr>
          <w:rFonts w:ascii="Times New Roman" w:hAnsi="Times New Roman" w:cs="Times New Roman"/>
          <w:sz w:val="18"/>
          <w:szCs w:val="18"/>
        </w:rPr>
      </w:pPr>
      <w:r>
        <w:rPr>
          <w:rFonts w:cs="Times New Roman" w:hint="eastAsia"/>
          <w:sz w:val="18"/>
          <w:szCs w:val="18"/>
        </w:rPr>
        <w:t>②化纤行业市场竞争风险</w:t>
      </w:r>
    </w:p>
    <w:p w:rsidR="00CB63CD" w:rsidRDefault="00CB63CD">
      <w:pPr>
        <w:pStyle w:val="a3"/>
        <w:spacing w:before="0" w:beforeAutospacing="0" w:after="0" w:afterAutospacing="0"/>
        <w:ind w:firstLine="360"/>
        <w:jc w:val="both"/>
        <w:divId w:val="974214275"/>
        <w:rPr>
          <w:rFonts w:ascii="Times New Roman" w:hAnsi="Times New Roman" w:cs="Times New Roman"/>
          <w:sz w:val="18"/>
          <w:szCs w:val="18"/>
        </w:rPr>
      </w:pPr>
      <w:r>
        <w:rPr>
          <w:rFonts w:cs="Times New Roman" w:hint="eastAsia"/>
          <w:sz w:val="18"/>
          <w:szCs w:val="18"/>
        </w:rPr>
        <w:t>化纤行业为完全市场竞争行业，由于国内外化纤设备的技术工艺基本成熟，也大大降低了行业的投资成本。较低的行业门槛导致众多的市场主体加入竞争，激烈的竞争进一步降低了行业的利润水平。由于市场过于偏重于对数量的要求，大部分生产企业过度扩张常规化产能，科研投入不足，行业集中度不高，现有产能中同质化产品过剩。公司若不能及时提高产品层次，生产市场所需差别化及特种纤维等高端产品，经营业绩有下滑的风险。</w:t>
      </w:r>
    </w:p>
    <w:p w:rsidR="00CB63CD" w:rsidRDefault="00CB63CD">
      <w:pPr>
        <w:pStyle w:val="a3"/>
        <w:spacing w:before="0" w:beforeAutospacing="0" w:after="0" w:afterAutospacing="0"/>
        <w:ind w:firstLine="360"/>
        <w:jc w:val="both"/>
        <w:divId w:val="974214275"/>
        <w:rPr>
          <w:rFonts w:ascii="Times New Roman" w:hAnsi="Times New Roman" w:cs="Times New Roman"/>
          <w:sz w:val="18"/>
          <w:szCs w:val="18"/>
        </w:rPr>
      </w:pPr>
      <w:r>
        <w:rPr>
          <w:rFonts w:cs="Times New Roman" w:hint="eastAsia"/>
          <w:sz w:val="18"/>
          <w:szCs w:val="18"/>
        </w:rPr>
        <w:t>③原材料价格波动风险</w:t>
      </w:r>
    </w:p>
    <w:p w:rsidR="00CB63CD" w:rsidRDefault="00CB63CD">
      <w:pPr>
        <w:pStyle w:val="a3"/>
        <w:spacing w:before="0" w:beforeAutospacing="0" w:after="0" w:afterAutospacing="0"/>
        <w:ind w:firstLine="360"/>
        <w:jc w:val="both"/>
        <w:divId w:val="974214275"/>
        <w:rPr>
          <w:rFonts w:ascii="Times New Roman" w:hAnsi="Times New Roman" w:cs="Times New Roman"/>
          <w:sz w:val="18"/>
          <w:szCs w:val="18"/>
        </w:rPr>
      </w:pPr>
      <w:r>
        <w:rPr>
          <w:rFonts w:cs="Times New Roman" w:hint="eastAsia"/>
          <w:sz w:val="18"/>
          <w:szCs w:val="18"/>
        </w:rPr>
        <w:t>公司涤纶短纤维产品的主要原料为精对苯二甲酸和乙二醇，如果未来原材料价格大幅上涨，而公司的产品市场的价格调整不能有效降低或消化原材料价格波动的影响，将可能对经营生产及业绩产生不利影响。</w:t>
      </w:r>
    </w:p>
    <w:p w:rsidR="00CB63CD" w:rsidRDefault="00CB63CD">
      <w:pPr>
        <w:pStyle w:val="a3"/>
        <w:spacing w:before="0" w:beforeAutospacing="0" w:after="0" w:afterAutospacing="0"/>
        <w:ind w:firstLine="360"/>
        <w:jc w:val="both"/>
        <w:divId w:val="974214275"/>
        <w:rPr>
          <w:rFonts w:ascii="Times New Roman" w:hAnsi="Times New Roman" w:cs="Times New Roman"/>
          <w:sz w:val="18"/>
          <w:szCs w:val="18"/>
        </w:rPr>
      </w:pPr>
      <w:r>
        <w:rPr>
          <w:rFonts w:cs="Times New Roman" w:hint="eastAsia"/>
          <w:sz w:val="18"/>
          <w:szCs w:val="18"/>
        </w:rPr>
        <w:t>④石化仓储业务内延发展受限的风险</w:t>
      </w:r>
    </w:p>
    <w:p w:rsidR="00CB63CD" w:rsidRDefault="00CB63CD">
      <w:pPr>
        <w:pStyle w:val="a3"/>
        <w:spacing w:before="0" w:beforeAutospacing="0" w:after="0" w:afterAutospacing="0"/>
        <w:ind w:firstLine="360"/>
        <w:jc w:val="both"/>
        <w:divId w:val="974214275"/>
        <w:rPr>
          <w:rFonts w:ascii="Times New Roman" w:hAnsi="Times New Roman" w:cs="Times New Roman"/>
          <w:sz w:val="18"/>
          <w:szCs w:val="18"/>
        </w:rPr>
      </w:pPr>
      <w:r>
        <w:rPr>
          <w:rFonts w:cs="Times New Roman" w:hint="eastAsia"/>
          <w:sz w:val="18"/>
          <w:szCs w:val="18"/>
        </w:rPr>
        <w:t>对于石化仓储企业来说，码头岸线及土地资源是企业发展的关键性资源。公司的仓储业务对码头和土地的依赖性较高。目前，公司无新增液体化工专用码头资源，且土地供给也受到限制，面临内延发展受限的风险。</w:t>
      </w:r>
    </w:p>
    <w:p w:rsidR="00CB63CD" w:rsidRDefault="00CB63CD">
      <w:pPr>
        <w:pStyle w:val="a3"/>
        <w:spacing w:before="0" w:beforeAutospacing="0" w:after="0" w:afterAutospacing="0"/>
        <w:ind w:firstLine="360"/>
        <w:jc w:val="both"/>
        <w:divId w:val="974214275"/>
        <w:rPr>
          <w:rFonts w:ascii="Times New Roman" w:hAnsi="Times New Roman" w:cs="Times New Roman"/>
          <w:sz w:val="18"/>
          <w:szCs w:val="18"/>
        </w:rPr>
      </w:pPr>
      <w:r>
        <w:rPr>
          <w:rFonts w:cs="Times New Roman" w:hint="eastAsia"/>
          <w:sz w:val="18"/>
          <w:szCs w:val="18"/>
        </w:rPr>
        <w:t>⑤环保和安全生产风险</w:t>
      </w:r>
    </w:p>
    <w:p w:rsidR="00CB63CD" w:rsidRDefault="00CB63CD">
      <w:pPr>
        <w:pStyle w:val="a3"/>
        <w:spacing w:before="0" w:beforeAutospacing="0" w:after="0" w:afterAutospacing="0"/>
        <w:ind w:firstLine="360"/>
        <w:jc w:val="both"/>
        <w:divId w:val="974214275"/>
        <w:rPr>
          <w:rFonts w:ascii="Times New Roman" w:hAnsi="Times New Roman" w:cs="Times New Roman"/>
          <w:sz w:val="18"/>
          <w:szCs w:val="18"/>
        </w:rPr>
      </w:pPr>
      <w:r>
        <w:rPr>
          <w:rFonts w:cs="Times New Roman" w:hint="eastAsia"/>
          <w:sz w:val="18"/>
          <w:szCs w:val="18"/>
        </w:rPr>
        <w:t>公司主营业务所处的纺织化纤和石化仓储行业，在生产经营的过程中还可能存在一定程度地影响周边环境的因素，例如产生粉尘、废料、污水等。虽然公司根据有关法律法规的要求，对化纤生产过程和仓储过程进行了严格的环保控制，并且严格按照标准排放。但是随着我国环境保护力度日趋提升，公司可能会因环境保护政策的变化而增加环保成本，进而对公司经营业绩造成影响。</w:t>
      </w:r>
    </w:p>
    <w:p w:rsidR="00CB63CD" w:rsidRDefault="00CB63CD">
      <w:pPr>
        <w:pStyle w:val="a3"/>
        <w:spacing w:before="0" w:beforeAutospacing="0" w:after="0" w:afterAutospacing="0"/>
        <w:ind w:firstLine="360"/>
        <w:jc w:val="both"/>
        <w:divId w:val="974214275"/>
        <w:rPr>
          <w:rFonts w:ascii="Times New Roman" w:hAnsi="Times New Roman" w:cs="Times New Roman"/>
          <w:sz w:val="18"/>
          <w:szCs w:val="18"/>
        </w:rPr>
      </w:pPr>
      <w:r>
        <w:rPr>
          <w:rFonts w:cs="Times New Roman" w:hint="eastAsia"/>
          <w:sz w:val="18"/>
          <w:szCs w:val="18"/>
        </w:rPr>
        <w:t>公司库区存储的货品大多数是易燃、易爆、有毒或腐蚀性的高危液体化工产品，若出现操作失误或设备故障，可能导致生产事故的发生，对周边地区及长江流域造成环境污染，从而面临承担赔偿相关损失和受到处罚的风险。</w:t>
      </w:r>
    </w:p>
    <w:p w:rsidR="00CB63CD" w:rsidRDefault="00CB63CD">
      <w:pPr>
        <w:pStyle w:val="a3"/>
        <w:spacing w:before="0" w:beforeAutospacing="0" w:after="0" w:afterAutospacing="0"/>
        <w:ind w:firstLine="360"/>
        <w:jc w:val="both"/>
        <w:divId w:val="974214275"/>
        <w:rPr>
          <w:rFonts w:ascii="Times New Roman" w:hAnsi="Times New Roman" w:cs="Times New Roman"/>
          <w:sz w:val="18"/>
          <w:szCs w:val="18"/>
        </w:rPr>
      </w:pPr>
      <w:r>
        <w:rPr>
          <w:rFonts w:cs="Times New Roman" w:hint="eastAsia"/>
          <w:sz w:val="18"/>
          <w:szCs w:val="18"/>
        </w:rPr>
        <w:lastRenderedPageBreak/>
        <w:t>针对上述风险，公司将进一步完善内部控制体系，强化风险防范机制，主动适应宏观经济新常态和市场竞争格局的变化，建立科学的决策体系和管理体系，严格按照相关法律法规、生产规范进行日常管理，持续提高企业经营管理水平和风险防范能力，进一步提升公司核心竞争力、整体盈利能力和抗风险能力。</w:t>
      </w:r>
    </w:p>
    <w:p w:rsidR="00F068AD" w:rsidRDefault="00CB63CD">
      <w:r>
        <w:br w:type="page"/>
      </w:r>
    </w:p>
    <w:p w:rsidR="00F068AD" w:rsidRDefault="00CB63CD">
      <w:pPr>
        <w:pStyle w:val="headingh1"/>
        <w:spacing w:before="340" w:after="330" w:line="773" w:lineRule="exact"/>
        <w:jc w:val="center"/>
        <w:rPr>
          <w:rFonts w:ascii="宋体" w:eastAsia="宋体" w:hAnsi="宋体" w:cs="宋体"/>
          <w:b/>
          <w:bCs/>
          <w:sz w:val="32"/>
          <w:szCs w:val="32"/>
        </w:rPr>
      </w:pPr>
      <w:bookmarkStart w:id="37" w:name="_Toc988926"/>
      <w:r>
        <w:rPr>
          <w:rFonts w:ascii="宋体" w:eastAsia="宋体" w:hAnsi="宋体" w:cs="宋体"/>
          <w:b/>
          <w:bCs/>
          <w:sz w:val="32"/>
          <w:szCs w:val="32"/>
        </w:rPr>
        <w:lastRenderedPageBreak/>
        <w:t>第四节 公司治理</w:t>
      </w:r>
      <w:bookmarkEnd w:id="37"/>
    </w:p>
    <w:p w:rsidR="00F068AD" w:rsidRDefault="00CB63CD">
      <w:pPr>
        <w:pStyle w:val="2"/>
        <w:spacing w:before="300" w:after="300" w:line="320" w:lineRule="exact"/>
        <w:rPr>
          <w:rFonts w:ascii="宋体" w:eastAsia="宋体" w:hAnsi="宋体" w:cs="宋体"/>
          <w:b/>
          <w:bCs/>
          <w:sz w:val="24"/>
          <w:szCs w:val="24"/>
        </w:rPr>
      </w:pPr>
      <w:bookmarkStart w:id="38" w:name="_Toc988927"/>
      <w:r>
        <w:rPr>
          <w:rFonts w:ascii="宋体" w:eastAsia="宋体" w:hAnsi="宋体" w:cs="宋体"/>
          <w:b/>
          <w:bCs/>
          <w:sz w:val="24"/>
          <w:szCs w:val="24"/>
        </w:rPr>
        <w:t>一、报告期内召开的年度股东大会和临时股东大会的有关情况</w:t>
      </w:r>
      <w:bookmarkEnd w:id="38"/>
    </w:p>
    <w:p w:rsidR="00F068AD" w:rsidRDefault="00CB63CD">
      <w:pPr>
        <w:pStyle w:val="3"/>
        <w:spacing w:line="280" w:lineRule="exact"/>
        <w:jc w:val="left"/>
        <w:rPr>
          <w:rFonts w:ascii="宋体" w:hAnsi="宋体" w:cs="宋体"/>
          <w:b/>
          <w:bCs/>
        </w:rPr>
      </w:pPr>
      <w:bookmarkStart w:id="39" w:name="_Toc988928"/>
      <w:r>
        <w:rPr>
          <w:rFonts w:ascii="宋体" w:hAnsi="宋体" w:cs="宋体"/>
          <w:b/>
          <w:bCs/>
        </w:rPr>
        <w:t>1、本报告期股东大会情况</w:t>
      </w:r>
      <w:bookmarkEnd w:id="39"/>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149"/>
        <w:gridCol w:w="1276"/>
        <w:gridCol w:w="1134"/>
        <w:gridCol w:w="2868"/>
      </w:tblGrid>
      <w:tr w:rsidR="00F068AD" w:rsidTr="009426A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会议届次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会议类型</w:t>
            </w:r>
          </w:p>
        </w:tc>
        <w:tc>
          <w:tcPr>
            <w:tcW w:w="1149"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投资者参与比例</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召开日期</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披露日期</w:t>
            </w:r>
          </w:p>
        </w:tc>
        <w:tc>
          <w:tcPr>
            <w:tcW w:w="286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会议决议</w:t>
            </w:r>
          </w:p>
        </w:tc>
      </w:tr>
      <w:tr w:rsidR="00F068AD" w:rsidTr="009426A4">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2021年度股东大会</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年度股东大会</w:t>
            </w:r>
          </w:p>
        </w:tc>
        <w:tc>
          <w:tcPr>
            <w:tcW w:w="114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41.43%</w:t>
            </w:r>
          </w:p>
        </w:tc>
        <w:tc>
          <w:tcPr>
            <w:tcW w:w="12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2022年06月24日</w:t>
            </w:r>
          </w:p>
        </w:tc>
        <w:tc>
          <w:tcPr>
            <w:tcW w:w="113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2022年06月25日</w:t>
            </w:r>
          </w:p>
        </w:tc>
        <w:tc>
          <w:tcPr>
            <w:tcW w:w="286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审议通过了《2021年度董事会工作报告》、《2021年度监事会工作报告》、《2021年度财务决算报告》、《2021年度利润分配预案》、《2021年度报告全文及摘要》、《关于重新签署〈金融服务协议〉暨关联交易的议案》、《关于收购股权暨关联交易的议案》、《关于修订〈公司章程〉部分条款的议案》、《关于修订〈股东大会议事规则〉的议案》、《关于修订〈董事会议事规则〉的议案》、《关于修订〈监事会议事规则〉的议案》、《关于向银行申请综合授信额度的议案》、《关于补选第八届董事会独立董事的议案》。</w:t>
            </w:r>
          </w:p>
        </w:tc>
      </w:tr>
    </w:tbl>
    <w:p w:rsidR="00F068AD" w:rsidRDefault="00CB63CD">
      <w:pPr>
        <w:pStyle w:val="3"/>
        <w:spacing w:line="280" w:lineRule="exact"/>
        <w:jc w:val="left"/>
        <w:rPr>
          <w:rFonts w:ascii="宋体" w:hAnsi="宋体" w:cs="宋体"/>
          <w:b/>
          <w:bCs/>
        </w:rPr>
      </w:pPr>
      <w:bookmarkStart w:id="40" w:name="_Toc988929"/>
      <w:r>
        <w:rPr>
          <w:rFonts w:ascii="宋体" w:hAnsi="宋体" w:cs="宋体"/>
          <w:b/>
          <w:bCs/>
        </w:rPr>
        <w:t>2、表决权恢复的优先股股东请求召开临时股东大会</w:t>
      </w:r>
      <w:bookmarkEnd w:id="40"/>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pStyle w:val="2"/>
        <w:spacing w:before="300" w:after="300" w:line="320" w:lineRule="exact"/>
        <w:rPr>
          <w:rFonts w:ascii="宋体" w:eastAsia="宋体" w:hAnsi="宋体" w:cs="宋体"/>
          <w:b/>
          <w:bCs/>
          <w:sz w:val="24"/>
          <w:szCs w:val="24"/>
        </w:rPr>
      </w:pPr>
      <w:bookmarkStart w:id="41" w:name="_Toc988930"/>
      <w:r>
        <w:rPr>
          <w:rFonts w:ascii="宋体" w:eastAsia="宋体" w:hAnsi="宋体" w:cs="宋体"/>
          <w:b/>
          <w:bCs/>
          <w:sz w:val="24"/>
          <w:szCs w:val="24"/>
        </w:rPr>
        <w:t>二、公司董事、监事、高级管理人员变动情况</w:t>
      </w:r>
      <w:bookmarkEnd w:id="41"/>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姓名</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担任的职务</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类型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日期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原因</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徐光华</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离任</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2022年06月24日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主动离职</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ZHOU ZHIPING</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离任</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2022年06月24日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主动离职</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孙涛</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被选举</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2022年06月24日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被选举</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承军</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被选举</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2022年06月24日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被选举</w:t>
            </w:r>
          </w:p>
        </w:tc>
      </w:tr>
    </w:tbl>
    <w:p w:rsidR="00F068AD" w:rsidRDefault="00CB63CD">
      <w:pPr>
        <w:pStyle w:val="2"/>
        <w:spacing w:before="300" w:after="300" w:line="320" w:lineRule="exact"/>
        <w:rPr>
          <w:rFonts w:ascii="宋体" w:eastAsia="宋体" w:hAnsi="宋体" w:cs="宋体"/>
          <w:b/>
          <w:bCs/>
          <w:sz w:val="24"/>
          <w:szCs w:val="24"/>
        </w:rPr>
      </w:pPr>
      <w:bookmarkStart w:id="42" w:name="_Toc988931"/>
      <w:r>
        <w:rPr>
          <w:rFonts w:ascii="宋体" w:eastAsia="宋体" w:hAnsi="宋体" w:cs="宋体"/>
          <w:b/>
          <w:bCs/>
          <w:sz w:val="24"/>
          <w:szCs w:val="24"/>
        </w:rPr>
        <w:t>三、本报告期利润分配及资本公积金转增股本情况</w:t>
      </w:r>
      <w:bookmarkEnd w:id="42"/>
    </w:p>
    <w:p w:rsidR="00F068AD" w:rsidRDefault="00CB63CD">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公司计划半年度不派发现金红利，不送红股，不以公积金转增股本。</w:t>
      </w:r>
    </w:p>
    <w:p w:rsidR="00F068AD" w:rsidRDefault="00CB63CD">
      <w:pPr>
        <w:pStyle w:val="2"/>
        <w:spacing w:before="300" w:after="300" w:line="320" w:lineRule="exact"/>
        <w:rPr>
          <w:rFonts w:ascii="宋体" w:eastAsia="宋体" w:hAnsi="宋体" w:cs="宋体"/>
          <w:b/>
          <w:bCs/>
          <w:sz w:val="24"/>
          <w:szCs w:val="24"/>
        </w:rPr>
      </w:pPr>
      <w:bookmarkStart w:id="43" w:name="_Toc988932"/>
      <w:r>
        <w:rPr>
          <w:rFonts w:ascii="宋体" w:eastAsia="宋体" w:hAnsi="宋体" w:cs="宋体"/>
          <w:b/>
          <w:bCs/>
          <w:sz w:val="24"/>
          <w:szCs w:val="24"/>
        </w:rPr>
        <w:t>四、公司股权激励计划、员工持股计划或其他员工激励措施的实施情况</w:t>
      </w:r>
      <w:bookmarkEnd w:id="43"/>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公司报告期无股权激励计划、员工持股计划或其他员工激励措施及其实施情况。</w:t>
      </w:r>
    </w:p>
    <w:p w:rsidR="00F068AD" w:rsidRDefault="00CB63CD">
      <w:r>
        <w:br w:type="page"/>
      </w:r>
    </w:p>
    <w:p w:rsidR="00F068AD" w:rsidRDefault="00CB63CD">
      <w:pPr>
        <w:pStyle w:val="headingh1"/>
        <w:spacing w:before="340" w:after="330" w:line="773" w:lineRule="exact"/>
        <w:jc w:val="center"/>
        <w:rPr>
          <w:rFonts w:ascii="宋体" w:eastAsia="宋体" w:hAnsi="宋体" w:cs="宋体"/>
          <w:b/>
          <w:bCs/>
          <w:sz w:val="32"/>
          <w:szCs w:val="32"/>
        </w:rPr>
      </w:pPr>
      <w:bookmarkStart w:id="44" w:name="_Toc988933"/>
      <w:r>
        <w:rPr>
          <w:rFonts w:ascii="宋体" w:eastAsia="宋体" w:hAnsi="宋体" w:cs="宋体"/>
          <w:b/>
          <w:bCs/>
          <w:sz w:val="32"/>
          <w:szCs w:val="32"/>
        </w:rPr>
        <w:lastRenderedPageBreak/>
        <w:t>第五节 环境和社会责任</w:t>
      </w:r>
      <w:bookmarkEnd w:id="44"/>
    </w:p>
    <w:p w:rsidR="00F068AD" w:rsidRDefault="00CB63CD">
      <w:pPr>
        <w:pStyle w:val="2"/>
        <w:spacing w:before="300" w:after="300" w:line="320" w:lineRule="exact"/>
        <w:rPr>
          <w:rFonts w:ascii="宋体" w:eastAsia="宋体" w:hAnsi="宋体" w:cs="宋体"/>
          <w:b/>
          <w:bCs/>
          <w:sz w:val="24"/>
          <w:szCs w:val="24"/>
        </w:rPr>
      </w:pPr>
      <w:bookmarkStart w:id="45" w:name="_Toc988934"/>
      <w:r>
        <w:rPr>
          <w:rFonts w:ascii="宋体" w:eastAsia="宋体" w:hAnsi="宋体" w:cs="宋体"/>
          <w:b/>
          <w:bCs/>
          <w:sz w:val="24"/>
          <w:szCs w:val="24"/>
        </w:rPr>
        <w:t>一、重大环保问题情况</w:t>
      </w:r>
      <w:bookmarkEnd w:id="45"/>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上市公司及其子公司是否属于环境保护部门公布的重点排污单位</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963"/>
        <w:gridCol w:w="964"/>
        <w:gridCol w:w="964"/>
        <w:gridCol w:w="964"/>
        <w:gridCol w:w="964"/>
        <w:gridCol w:w="964"/>
        <w:gridCol w:w="964"/>
        <w:gridCol w:w="964"/>
        <w:gridCol w:w="964"/>
        <w:gridCol w:w="964"/>
      </w:tblGrid>
      <w:tr w:rsidR="00F068AD">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公司或子公司名称</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主要污染物及特征污染物的名称</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排放方式</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排放口数量</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排放口分布情况</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排放浓度</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执行的污染物排放标准</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排放总量</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核定的排放总量</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超标排放情况</w:t>
            </w:r>
          </w:p>
        </w:tc>
      </w:tr>
      <w:tr w:rsidR="00F068AD">
        <w:trPr>
          <w:trHeight w:val="240"/>
        </w:trPr>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江苏华西村股份有限公司特种化纤厂</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锅炉废气：颗粒物 氮氧化物 二氧化硫 烟气黑度</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低氮燃烧处理后直接排放</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2个</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烟囱布置在厂区内主装置区</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烟尘≤50㎎/Nm3 氮氧化物≤50㎎/Nm3二氧化硫≤35㎎/Nm3烟气黑度 1</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锅炉大气污染物排放标准GB13271-2014</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上半年排放氮氧化物4.166吨</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氮氧化物全年总量20.845吨</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无</w:t>
            </w:r>
          </w:p>
        </w:tc>
      </w:tr>
      <w:tr w:rsidR="00F068AD">
        <w:trPr>
          <w:trHeight w:val="240"/>
        </w:trPr>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江苏华西村股份有限公司特种化纤厂</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车间废气：挥发性有机物 颗粒物 乙醛</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RCO催化燃烧处理合格后直接排放</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2个</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烟囱布置在厂区内主装置区</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挥发性有机物≤60㎎/Nm3颗粒物≤20㎎/Nm3   乙醛≤20㎎/Nm3</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合成树脂工业污染物排放标准GB</w:t>
            </w:r>
          </w:p>
          <w:p w:rsidR="00F068AD" w:rsidRDefault="00CB63CD">
            <w:pPr>
              <w:spacing w:line="240" w:lineRule="exact"/>
              <w:rPr>
                <w:rFonts w:ascii="宋体" w:eastAsia="宋体" w:hAnsi="宋体" w:cs="宋体"/>
                <w:sz w:val="18"/>
                <w:szCs w:val="18"/>
              </w:rPr>
            </w:pPr>
            <w:r>
              <w:rPr>
                <w:rFonts w:ascii="宋体" w:eastAsia="宋体" w:hAnsi="宋体" w:cs="宋体"/>
                <w:sz w:val="18"/>
                <w:szCs w:val="18"/>
              </w:rPr>
              <w:t>31572-2015 大气污染物综合排放标准GB16297-1996</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上半年排放VOC量0.56吨</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VOC全年总量1.4吨</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无</w:t>
            </w:r>
          </w:p>
        </w:tc>
      </w:tr>
      <w:tr w:rsidR="00F068AD">
        <w:trPr>
          <w:trHeight w:val="240"/>
        </w:trPr>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江苏华西村股份有限公司特种化纤厂</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工艺废水：总磷 化学需氧量 石油类 PH值 流量 氨氮 总氮 悬浮物</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经污水站预处理后接管排放到华西污水处理有限公司处理</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1个</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排放口在厂区污水站区</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总磷≤8㎎/L 化学需氧量≤500㎎/L 石油类≤30㎎/L PH值6-9 氨氮≤20㎎/L 总氮 ≤70㎎/L悬浮物≤400㎎/L</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污水排人城镇下水道水质标准GB/T31962-2015  污水综合排放标准GB8978-1996</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上半年排放废水量40200吨</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废水全年排放总量89190吨</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无</w:t>
            </w:r>
          </w:p>
        </w:tc>
      </w:tr>
      <w:tr w:rsidR="00F068AD">
        <w:trPr>
          <w:trHeight w:val="240"/>
        </w:trPr>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废气：非甲烷总烃</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废气处理后直接排放</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布置在库区东北角和西北角各一个</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非甲烷总烃：≤60mg/Nm3</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《江苏省大气污染物综合排放标准》DB32/4041-2021）</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上半年排放非甲烷总烃50.1t/a</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非甲烷总烃312.3t/a</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无</w:t>
            </w:r>
          </w:p>
        </w:tc>
      </w:tr>
      <w:tr w:rsidR="00F068AD">
        <w:trPr>
          <w:trHeight w:val="240"/>
        </w:trPr>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工艺废水：COD、</w:t>
            </w:r>
            <w:r>
              <w:rPr>
                <w:rFonts w:ascii="宋体" w:eastAsia="宋体" w:hAnsi="宋体" w:cs="宋体"/>
                <w:sz w:val="18"/>
                <w:szCs w:val="18"/>
              </w:rPr>
              <w:lastRenderedPageBreak/>
              <w:t>BOD、氨氮、总磷、总氮、色度、PH值</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lastRenderedPageBreak/>
              <w:t>经污水预处理站处理后排放</w:t>
            </w:r>
            <w:r>
              <w:rPr>
                <w:rFonts w:ascii="宋体" w:eastAsia="宋体" w:hAnsi="宋体" w:cs="宋体"/>
                <w:sz w:val="18"/>
                <w:szCs w:val="18"/>
              </w:rPr>
              <w:lastRenderedPageBreak/>
              <w:t>到园区光大水务污水处理厂</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lastRenderedPageBreak/>
              <w:t>1</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排放口位于罐区六西侧围墙</w:t>
            </w:r>
            <w:r>
              <w:rPr>
                <w:rFonts w:ascii="宋体" w:eastAsia="宋体" w:hAnsi="宋体" w:cs="宋体"/>
                <w:sz w:val="18"/>
                <w:szCs w:val="18"/>
              </w:rPr>
              <w:lastRenderedPageBreak/>
              <w:t>外</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lastRenderedPageBreak/>
              <w:t>COD：≤500mg/l;</w:t>
            </w:r>
          </w:p>
          <w:p w:rsidR="00F068AD" w:rsidRDefault="00CB63CD">
            <w:pPr>
              <w:spacing w:line="240" w:lineRule="exact"/>
              <w:rPr>
                <w:rFonts w:ascii="宋体" w:eastAsia="宋体" w:hAnsi="宋体" w:cs="宋体"/>
                <w:sz w:val="18"/>
                <w:szCs w:val="18"/>
              </w:rPr>
            </w:pPr>
            <w:r>
              <w:rPr>
                <w:rFonts w:ascii="宋体" w:eastAsia="宋体" w:hAnsi="宋体" w:cs="宋体"/>
                <w:sz w:val="18"/>
                <w:szCs w:val="18"/>
              </w:rPr>
              <w:lastRenderedPageBreak/>
              <w:t>BOD：≤300mg/l；总氮：≤40mg/l总磷：≤2mg/l</w:t>
            </w:r>
          </w:p>
          <w:p w:rsidR="00F068AD" w:rsidRDefault="00CB63CD">
            <w:pPr>
              <w:spacing w:line="240" w:lineRule="exact"/>
              <w:rPr>
                <w:rFonts w:ascii="宋体" w:eastAsia="宋体" w:hAnsi="宋体" w:cs="宋体"/>
                <w:sz w:val="18"/>
                <w:szCs w:val="18"/>
              </w:rPr>
            </w:pPr>
            <w:r>
              <w:rPr>
                <w:rFonts w:ascii="宋体" w:eastAsia="宋体" w:hAnsi="宋体" w:cs="宋体"/>
                <w:sz w:val="18"/>
                <w:szCs w:val="18"/>
              </w:rPr>
              <w:t>氨氮：≤35mg/l</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lastRenderedPageBreak/>
              <w:t>《污水综合排放标准》</w:t>
            </w:r>
            <w:r>
              <w:rPr>
                <w:rFonts w:ascii="宋体" w:eastAsia="宋体" w:hAnsi="宋体" w:cs="宋体"/>
                <w:sz w:val="18"/>
                <w:szCs w:val="18"/>
              </w:rPr>
              <w:lastRenderedPageBreak/>
              <w:t>GB8978-1996</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lastRenderedPageBreak/>
              <w:t>上半年废水排放总量：</w:t>
            </w:r>
            <w:r>
              <w:rPr>
                <w:rFonts w:ascii="宋体" w:eastAsia="宋体" w:hAnsi="宋体" w:cs="宋体"/>
                <w:sz w:val="18"/>
                <w:szCs w:val="18"/>
              </w:rPr>
              <w:lastRenderedPageBreak/>
              <w:t>12000吨</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lastRenderedPageBreak/>
              <w:t>废水排放总量：32860吨</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无</w:t>
            </w:r>
          </w:p>
        </w:tc>
      </w:tr>
    </w:tbl>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防治污染设施的建设和运行情况</w:t>
      </w:r>
    </w:p>
    <w:p w:rsidR="00CB63CD" w:rsidRDefault="00CB63CD">
      <w:pPr>
        <w:pStyle w:val="a3"/>
        <w:spacing w:before="0" w:beforeAutospacing="0" w:after="0" w:afterAutospacing="0"/>
        <w:ind w:firstLine="360"/>
        <w:jc w:val="both"/>
        <w:divId w:val="1435981111"/>
        <w:rPr>
          <w:rFonts w:cs="Times New Roman"/>
          <w:sz w:val="18"/>
          <w:szCs w:val="18"/>
        </w:rPr>
      </w:pPr>
      <w:r>
        <w:rPr>
          <w:rFonts w:cs="Times New Roman" w:hint="eastAsia"/>
          <w:sz w:val="18"/>
          <w:szCs w:val="18"/>
        </w:rPr>
        <w:t>公司按照建设项目环境影响评价要求，建设污染物治理设施。目前各防治污染设施运行正常，公司日常注重设备设施的维护与保养，保证污染物治理设施高效稳定，达标排放。</w:t>
      </w:r>
    </w:p>
    <w:p w:rsidR="009426A4" w:rsidRDefault="009426A4">
      <w:pPr>
        <w:pStyle w:val="a3"/>
        <w:spacing w:before="0" w:beforeAutospacing="0" w:after="0" w:afterAutospacing="0"/>
        <w:ind w:firstLine="360"/>
        <w:jc w:val="both"/>
        <w:divId w:val="1435981111"/>
        <w:rPr>
          <w:rFonts w:ascii="Times New Roman" w:hAnsi="Times New Roman" w:cs="Times New Roman"/>
          <w:sz w:val="18"/>
          <w:szCs w:val="18"/>
        </w:rPr>
      </w:pP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建设项目环境影响评价及其他环境保护行政许可情况</w:t>
      </w:r>
    </w:p>
    <w:p w:rsidR="00CB63CD" w:rsidRDefault="00CB63CD" w:rsidP="009426A4">
      <w:pPr>
        <w:pStyle w:val="a3"/>
        <w:spacing w:before="40" w:beforeAutospacing="0" w:after="40" w:afterAutospacing="0"/>
        <w:ind w:firstLineChars="200" w:firstLine="360"/>
        <w:divId w:val="1338191538"/>
        <w:rPr>
          <w:rFonts w:cs="Times New Roman"/>
          <w:sz w:val="18"/>
          <w:szCs w:val="18"/>
        </w:rPr>
      </w:pPr>
      <w:r>
        <w:rPr>
          <w:rFonts w:cs="Times New Roman" w:hint="eastAsia"/>
          <w:sz w:val="18"/>
          <w:szCs w:val="18"/>
        </w:rPr>
        <w:t>公司已取得建设项目环境影响评价以及环保部门的排污许可。</w:t>
      </w:r>
    </w:p>
    <w:p w:rsidR="009426A4" w:rsidRPr="009426A4" w:rsidRDefault="009426A4" w:rsidP="009426A4">
      <w:pPr>
        <w:pStyle w:val="a3"/>
        <w:spacing w:before="40" w:beforeAutospacing="0" w:after="40" w:afterAutospacing="0"/>
        <w:ind w:firstLineChars="200" w:firstLine="360"/>
        <w:divId w:val="1338191538"/>
        <w:rPr>
          <w:rFonts w:ascii="Times New Roman" w:hAnsi="Times New Roman" w:cs="Times New Roman"/>
          <w:sz w:val="18"/>
          <w:szCs w:val="18"/>
        </w:rPr>
      </w:pP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突发环境事件应急预案</w:t>
      </w:r>
    </w:p>
    <w:p w:rsidR="00CB63CD" w:rsidRDefault="00CB63CD" w:rsidP="00C9693C">
      <w:pPr>
        <w:pStyle w:val="a3"/>
        <w:spacing w:before="40" w:beforeAutospacing="0" w:after="40" w:afterAutospacing="0"/>
        <w:jc w:val="both"/>
        <w:divId w:val="2019038800"/>
        <w:rPr>
          <w:rFonts w:ascii="Times New Roman" w:hAnsi="Times New Roman" w:cs="Times New Roman"/>
          <w:sz w:val="18"/>
          <w:szCs w:val="18"/>
        </w:rPr>
      </w:pPr>
      <w:r>
        <w:rPr>
          <w:rFonts w:cs="Times New Roman" w:hint="eastAsia"/>
          <w:sz w:val="18"/>
          <w:szCs w:val="18"/>
        </w:rPr>
        <w:t>  化纤厂已编制《突发环境事件应急预案》，并在江阴市环境应急与事故调查中心通过备案，备案编号：320281-2019-190-L。</w:t>
      </w:r>
    </w:p>
    <w:p w:rsidR="00CB63CD" w:rsidRDefault="00CB63CD" w:rsidP="00C9693C">
      <w:pPr>
        <w:pStyle w:val="a3"/>
        <w:spacing w:before="0" w:beforeAutospacing="0" w:after="0" w:afterAutospacing="0"/>
        <w:jc w:val="both"/>
        <w:divId w:val="2019038800"/>
        <w:rPr>
          <w:rFonts w:cs="Calibri"/>
          <w:sz w:val="18"/>
          <w:szCs w:val="18"/>
        </w:rPr>
      </w:pPr>
      <w:r>
        <w:rPr>
          <w:rFonts w:ascii="Calibri" w:hAnsi="Calibri" w:cs="Calibri"/>
          <w:sz w:val="18"/>
          <w:szCs w:val="18"/>
        </w:rPr>
        <w:t xml:space="preserve">  </w:t>
      </w:r>
      <w:r>
        <w:rPr>
          <w:rFonts w:cs="Calibri" w:hint="eastAsia"/>
          <w:sz w:val="18"/>
          <w:szCs w:val="18"/>
        </w:rPr>
        <w:t> 华西码头已编制《突发环境事件应急预案》，并在江阴市环境应急与事故调查中心通过备案，备案编号：320281-2019-235-H。</w:t>
      </w:r>
    </w:p>
    <w:p w:rsidR="009426A4" w:rsidRDefault="009426A4" w:rsidP="00C9693C">
      <w:pPr>
        <w:pStyle w:val="a3"/>
        <w:spacing w:before="0" w:beforeAutospacing="0" w:after="0" w:afterAutospacing="0"/>
        <w:jc w:val="both"/>
        <w:divId w:val="2019038800"/>
        <w:rPr>
          <w:rFonts w:ascii="Calibri" w:hAnsi="Calibri" w:cs="Calibri"/>
          <w:sz w:val="21"/>
          <w:szCs w:val="21"/>
        </w:rPr>
      </w:pP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环境自行监测方案</w:t>
      </w:r>
    </w:p>
    <w:p w:rsidR="00CB63CD" w:rsidRPr="009426A4" w:rsidRDefault="00CB63CD" w:rsidP="009426A4">
      <w:pPr>
        <w:spacing w:before="100" w:after="100" w:line="240" w:lineRule="exact"/>
        <w:divId w:val="402336418"/>
        <w:rPr>
          <w:rFonts w:ascii="宋体" w:eastAsia="宋体" w:hAnsi="宋体" w:cs="宋体"/>
          <w:sz w:val="18"/>
          <w:szCs w:val="18"/>
        </w:rPr>
      </w:pPr>
      <w:r w:rsidRPr="009426A4">
        <w:rPr>
          <w:rFonts w:ascii="宋体" w:eastAsia="宋体" w:hAnsi="宋体" w:cs="宋体" w:hint="eastAsia"/>
          <w:sz w:val="18"/>
          <w:szCs w:val="18"/>
        </w:rPr>
        <w:t> 公司依据《排污单位自行监测技术指南 总则》（HJ819-2017）、企业建设项目自查评估报告</w:t>
      </w:r>
      <w:r w:rsidR="00C9693C">
        <w:rPr>
          <w:rFonts w:ascii="宋体" w:eastAsia="宋体" w:hAnsi="宋体" w:cs="宋体" w:hint="eastAsia"/>
          <w:sz w:val="18"/>
          <w:szCs w:val="18"/>
        </w:rPr>
        <w:t>等</w:t>
      </w:r>
      <w:r w:rsidRPr="009426A4">
        <w:rPr>
          <w:rFonts w:ascii="宋体" w:eastAsia="宋体" w:hAnsi="宋体" w:cs="宋体" w:hint="eastAsia"/>
          <w:sz w:val="18"/>
          <w:szCs w:val="18"/>
        </w:rPr>
        <w:t>，每年制定自行监测方案，并报属地环保监管部门。</w:t>
      </w:r>
    </w:p>
    <w:p w:rsidR="00CB63CD" w:rsidRPr="00BD65B6" w:rsidRDefault="00CB63CD" w:rsidP="00BD65B6">
      <w:pPr>
        <w:spacing w:before="100" w:after="100" w:line="240" w:lineRule="exact"/>
        <w:divId w:val="402336418"/>
        <w:rPr>
          <w:rFonts w:ascii="宋体" w:eastAsia="宋体" w:hAnsi="宋体" w:cs="宋体"/>
          <w:sz w:val="18"/>
          <w:szCs w:val="18"/>
        </w:rPr>
      </w:pPr>
      <w:r w:rsidRPr="00BD65B6">
        <w:rPr>
          <w:rFonts w:ascii="宋体" w:eastAsia="宋体" w:hAnsi="宋体" w:cs="宋体" w:hint="eastAsia"/>
          <w:sz w:val="18"/>
          <w:szCs w:val="18"/>
        </w:rPr>
        <w:t> </w:t>
      </w:r>
    </w:p>
    <w:p w:rsidR="00F068AD" w:rsidRDefault="00CB63CD" w:rsidP="00BD65B6">
      <w:pPr>
        <w:spacing w:before="100" w:after="100" w:line="240" w:lineRule="exact"/>
        <w:rPr>
          <w:rFonts w:ascii="宋体" w:eastAsia="宋体" w:hAnsi="宋体" w:cs="宋体"/>
          <w:sz w:val="18"/>
          <w:szCs w:val="18"/>
        </w:rPr>
      </w:pPr>
      <w:r>
        <w:rPr>
          <w:rFonts w:ascii="宋体" w:eastAsia="宋体" w:hAnsi="宋体" w:cs="宋体"/>
          <w:sz w:val="18"/>
          <w:szCs w:val="18"/>
        </w:rPr>
        <w:t>报告期内因环境问题受到行政处罚的情况</w:t>
      </w:r>
    </w:p>
    <w:p w:rsidR="00CB63CD" w:rsidRDefault="00CB63CD" w:rsidP="00BD65B6">
      <w:pPr>
        <w:spacing w:before="100" w:after="100" w:line="240" w:lineRule="exact"/>
        <w:ind w:firstLineChars="200" w:firstLine="360"/>
        <w:divId w:val="302733231"/>
        <w:rPr>
          <w:rFonts w:ascii="宋体" w:eastAsia="宋体" w:hAnsi="宋体" w:cs="宋体"/>
          <w:sz w:val="18"/>
          <w:szCs w:val="18"/>
        </w:rPr>
      </w:pPr>
      <w:r w:rsidRPr="00BD65B6">
        <w:rPr>
          <w:rFonts w:ascii="宋体" w:eastAsia="宋体" w:hAnsi="宋体" w:cs="宋体" w:hint="eastAsia"/>
          <w:sz w:val="18"/>
          <w:szCs w:val="18"/>
        </w:rPr>
        <w:t>报告期内公司未发生重大环境问题，未因环保问题受过行政处罚。</w:t>
      </w:r>
    </w:p>
    <w:p w:rsidR="00BD65B6" w:rsidRPr="00BD65B6" w:rsidRDefault="00BD65B6" w:rsidP="00BD65B6">
      <w:pPr>
        <w:spacing w:before="100" w:after="100" w:line="240" w:lineRule="exact"/>
        <w:ind w:firstLineChars="200" w:firstLine="360"/>
        <w:divId w:val="302733231"/>
        <w:rPr>
          <w:rFonts w:ascii="宋体" w:eastAsia="宋体" w:hAnsi="宋体" w:cs="宋体"/>
          <w:sz w:val="18"/>
          <w:szCs w:val="18"/>
        </w:rPr>
      </w:pP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在报告期内为减少其碳排放所采取的措施及效果</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D65B6" w:rsidRDefault="00BD65B6">
      <w:pPr>
        <w:spacing w:before="40" w:after="40" w:line="240" w:lineRule="exact"/>
        <w:rPr>
          <w:rFonts w:ascii="宋体" w:eastAsia="宋体" w:hAnsi="宋体" w:cs="宋体"/>
          <w:sz w:val="18"/>
          <w:szCs w:val="18"/>
        </w:rPr>
      </w:pP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其他环保相关信息</w:t>
      </w:r>
    </w:p>
    <w:p w:rsidR="00CB63CD" w:rsidRDefault="00CB63CD">
      <w:pPr>
        <w:pStyle w:val="a3"/>
        <w:spacing w:before="40" w:beforeAutospacing="0" w:after="40" w:afterAutospacing="0"/>
        <w:ind w:firstLine="360"/>
        <w:jc w:val="both"/>
        <w:divId w:val="1901595261"/>
        <w:rPr>
          <w:rFonts w:ascii="Times New Roman" w:hAnsi="Times New Roman" w:cs="Times New Roman"/>
          <w:sz w:val="18"/>
          <w:szCs w:val="18"/>
        </w:rPr>
      </w:pPr>
      <w:r>
        <w:rPr>
          <w:rFonts w:cs="Times New Roman" w:hint="eastAsia"/>
          <w:sz w:val="18"/>
          <w:szCs w:val="18"/>
        </w:rPr>
        <w:t>面对目前的环保形势，公司始终站在可持续发展的高度，重视环境保护工作。报告期内，公司实施了厂区废气综合治理项目，对纺丝车间的有机废气进行深度治理，以实现VOCS的达标排放。中水回用改造项目，对原有废水处理系统进行升级改造，项目完成后，日可处理废水量达700吨/天，废水回收率80%，日可回收水量560吨/天。公司将按照最新的环保要求，争取在年内完成绿色工厂的星级评定工作。</w:t>
      </w:r>
    </w:p>
    <w:p w:rsidR="00F068AD" w:rsidRDefault="00CB63CD">
      <w:pPr>
        <w:pStyle w:val="2"/>
        <w:spacing w:before="300" w:after="300" w:line="320" w:lineRule="exact"/>
        <w:rPr>
          <w:rFonts w:ascii="宋体" w:eastAsia="宋体" w:hAnsi="宋体" w:cs="宋体"/>
          <w:b/>
          <w:bCs/>
          <w:sz w:val="24"/>
          <w:szCs w:val="24"/>
        </w:rPr>
      </w:pPr>
      <w:bookmarkStart w:id="46" w:name="_Toc988935"/>
      <w:r>
        <w:rPr>
          <w:rFonts w:ascii="宋体" w:eastAsia="宋体" w:hAnsi="宋体" w:cs="宋体"/>
          <w:b/>
          <w:bCs/>
          <w:sz w:val="24"/>
          <w:szCs w:val="24"/>
        </w:rPr>
        <w:t>二、社会责任情况</w:t>
      </w:r>
      <w:bookmarkEnd w:id="46"/>
    </w:p>
    <w:p w:rsidR="00CB63CD" w:rsidRDefault="00CB63CD">
      <w:pPr>
        <w:pStyle w:val="a3"/>
        <w:spacing w:before="0" w:beforeAutospacing="0" w:after="0" w:afterAutospacing="0"/>
        <w:ind w:firstLine="360"/>
        <w:divId w:val="1637636996"/>
        <w:rPr>
          <w:rFonts w:ascii="Times New Roman" w:hAnsi="Times New Roman" w:cs="Times New Roman"/>
          <w:sz w:val="18"/>
          <w:szCs w:val="18"/>
        </w:rPr>
      </w:pPr>
      <w:r>
        <w:rPr>
          <w:rFonts w:cs="Times New Roman" w:hint="eastAsia"/>
          <w:sz w:val="18"/>
          <w:szCs w:val="18"/>
        </w:rPr>
        <w:t>报告期内，公司严格按照《公司法》、《证券法》、《股票上市规则》等法律法规、部门规章、规范性文件和《公司章程》的规定，规范公司治理结构和建立健全内部控制制度。公司将履行社会责任与企业的发展战略、日常经营活动紧密结合，重视保护股东、债权人和职工的合法权益，诚信对待供应商、客户和消费者，践行绿色发展理念，积极参与环境保护、疫情防控等工作，努力实现经济效益、社会效益和环境效益共赢，促进公司与全社会的协调、和谐发展。</w:t>
      </w:r>
    </w:p>
    <w:p w:rsidR="00CB63CD" w:rsidRDefault="00CB63CD" w:rsidP="00C5034C">
      <w:pPr>
        <w:pStyle w:val="a3"/>
        <w:spacing w:before="0" w:beforeAutospacing="0" w:after="0" w:afterAutospacing="0"/>
        <w:ind w:firstLine="360"/>
        <w:jc w:val="both"/>
        <w:divId w:val="1637636996"/>
        <w:rPr>
          <w:rFonts w:ascii="Times New Roman" w:hAnsi="Times New Roman" w:cs="Times New Roman"/>
          <w:sz w:val="18"/>
          <w:szCs w:val="18"/>
        </w:rPr>
      </w:pPr>
      <w:r>
        <w:rPr>
          <w:rFonts w:cs="Times New Roman" w:hint="eastAsia"/>
          <w:sz w:val="18"/>
          <w:szCs w:val="18"/>
        </w:rPr>
        <w:lastRenderedPageBreak/>
        <w:t>（</w:t>
      </w:r>
      <w:r>
        <w:rPr>
          <w:rFonts w:ascii="Times New Roman" w:hAnsi="Times New Roman" w:cs="Times New Roman"/>
          <w:sz w:val="18"/>
          <w:szCs w:val="18"/>
        </w:rPr>
        <w:t>1</w:t>
      </w:r>
      <w:r>
        <w:rPr>
          <w:rFonts w:cs="Times New Roman" w:hint="eastAsia"/>
          <w:sz w:val="18"/>
          <w:szCs w:val="18"/>
        </w:rPr>
        <w:t>）股东及债权人权益保护：公司始终坚持将保护股东作为一切经营管理活动的前提，重视股东特别是中小股东的利益，维护债权人的合法权益。根据《公司法》、《证券法》、《上市公司治理准则》等法律法规的要求，公司不断完善治理体系，已建立了较为完善的内控体系，形成了以股东大会、董事会、监事会及管理层为主体结构的决策与经营体系，规范公司运作，履行信息披露义务，确保信息披露的真实、准确、及时、完整和公平，确保公司所有股东能够以平等的机会获得公司信息，保障全体股东的合法权益。同时，公司通过投资者电话和互动易平台等多种方式与投资者进行沟通交流，提高了公司的透明度和诚信度。报告期内，公司财务政策稳健，资产、资金安全，维护股东利益的同时兼顾了债权人的利益。</w:t>
      </w:r>
    </w:p>
    <w:p w:rsidR="00CB63CD" w:rsidRDefault="00CB63CD" w:rsidP="00C5034C">
      <w:pPr>
        <w:pStyle w:val="a3"/>
        <w:spacing w:before="0" w:beforeAutospacing="0" w:after="0" w:afterAutospacing="0"/>
        <w:ind w:firstLine="360"/>
        <w:jc w:val="both"/>
        <w:divId w:val="1637636996"/>
        <w:rPr>
          <w:rFonts w:ascii="Times New Roman" w:hAnsi="Times New Roman" w:cs="Times New Roman"/>
          <w:sz w:val="18"/>
          <w:szCs w:val="18"/>
        </w:rPr>
      </w:pPr>
      <w:r>
        <w:rPr>
          <w:rFonts w:cs="Times New Roman" w:hint="eastAsia"/>
          <w:sz w:val="18"/>
          <w:szCs w:val="18"/>
        </w:rPr>
        <w:t>（</w:t>
      </w:r>
      <w:r>
        <w:rPr>
          <w:rFonts w:ascii="Times New Roman" w:hAnsi="Times New Roman" w:cs="Times New Roman"/>
          <w:sz w:val="18"/>
          <w:szCs w:val="18"/>
        </w:rPr>
        <w:t>2</w:t>
      </w:r>
      <w:r>
        <w:rPr>
          <w:rFonts w:cs="Times New Roman" w:hint="eastAsia"/>
          <w:sz w:val="18"/>
          <w:szCs w:val="18"/>
        </w:rPr>
        <w:t>）职工权益保护：公司严格遵守《劳动法》等相关法律法规的要求，充分保障职工合法权益，劳资关系和谐稳定。公司为职工提供健康、安全的工作环境和生活环境，依法安排职工参加各项社会保险，在劳动安全卫生制度、社会保障等方面严格执行国家规定和标准。公司围绕落实安全生产责任制，强化安全生产管理，切实落实安全生产工作的各项要求，保障了生产的良好运行。</w:t>
      </w:r>
    </w:p>
    <w:p w:rsidR="00CB63CD" w:rsidRDefault="00CB63CD" w:rsidP="00C5034C">
      <w:pPr>
        <w:pStyle w:val="a3"/>
        <w:spacing w:before="0" w:beforeAutospacing="0" w:after="0" w:afterAutospacing="0"/>
        <w:ind w:firstLine="360"/>
        <w:jc w:val="both"/>
        <w:divId w:val="1637636996"/>
        <w:rPr>
          <w:rFonts w:ascii="Times New Roman" w:hAnsi="Times New Roman" w:cs="Times New Roman"/>
          <w:sz w:val="18"/>
          <w:szCs w:val="18"/>
        </w:rPr>
      </w:pPr>
      <w:r>
        <w:rPr>
          <w:rFonts w:cs="Times New Roman" w:hint="eastAsia"/>
          <w:sz w:val="18"/>
          <w:szCs w:val="18"/>
        </w:rPr>
        <w:t>（</w:t>
      </w:r>
      <w:r>
        <w:rPr>
          <w:rFonts w:ascii="Times New Roman" w:hAnsi="Times New Roman" w:cs="Times New Roman"/>
          <w:sz w:val="18"/>
          <w:szCs w:val="18"/>
        </w:rPr>
        <w:t>3</w:t>
      </w:r>
      <w:r>
        <w:rPr>
          <w:rFonts w:cs="Times New Roman" w:hint="eastAsia"/>
          <w:sz w:val="18"/>
          <w:szCs w:val="18"/>
        </w:rPr>
        <w:t>）供应商、客户权益保护：公司重视企业内部控制，加强对采购、销售等重点环节的监督检查，通过建立健全内部审计制度、招投标管理制度、采购管理制度等，防范商业贿赂与不正当交易，保护供应商与客户的合法权益。</w:t>
      </w:r>
    </w:p>
    <w:p w:rsidR="00CB63CD" w:rsidRDefault="00CB63CD" w:rsidP="00C5034C">
      <w:pPr>
        <w:pStyle w:val="a3"/>
        <w:spacing w:before="0" w:beforeAutospacing="0" w:after="0" w:afterAutospacing="0"/>
        <w:ind w:firstLine="360"/>
        <w:jc w:val="both"/>
        <w:divId w:val="1637636996"/>
        <w:rPr>
          <w:rFonts w:ascii="Times New Roman" w:hAnsi="Times New Roman" w:cs="Times New Roman"/>
          <w:sz w:val="18"/>
          <w:szCs w:val="18"/>
        </w:rPr>
      </w:pPr>
      <w:r>
        <w:rPr>
          <w:rFonts w:cs="Times New Roman" w:hint="eastAsia"/>
          <w:sz w:val="18"/>
          <w:szCs w:val="18"/>
        </w:rPr>
        <w:t>（</w:t>
      </w:r>
      <w:r>
        <w:rPr>
          <w:rFonts w:ascii="Times New Roman" w:hAnsi="Times New Roman" w:cs="Times New Roman"/>
          <w:sz w:val="18"/>
          <w:szCs w:val="18"/>
        </w:rPr>
        <w:t>4</w:t>
      </w:r>
      <w:r>
        <w:rPr>
          <w:rFonts w:cs="Times New Roman" w:hint="eastAsia"/>
          <w:sz w:val="18"/>
          <w:szCs w:val="18"/>
        </w:rPr>
        <w:t>）环境保护与可持续性发展：开展环境保护与可持续发展活动，不仅是公司履行社会责任的具体行动，更是公司降低生产成本的重要途径。公司持续强化绿色生产，加强能源降耗管理，在环境保护与成本节约等方面均取得了良好效果。</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公司需遵守《深圳证券交易所上市公司自律监管指引第3号——行业信息披露》中的“化工行业相关业务”的披露要求</w:t>
      </w:r>
    </w:p>
    <w:p w:rsidR="00CB63CD" w:rsidRDefault="00CB63CD">
      <w:pPr>
        <w:pStyle w:val="a3"/>
        <w:spacing w:before="40" w:beforeAutospacing="0" w:after="40" w:afterAutospacing="0"/>
        <w:divId w:val="1989898334"/>
        <w:rPr>
          <w:rFonts w:ascii="Times New Roman" w:hAnsi="Times New Roman" w:cs="Times New Roman"/>
          <w:sz w:val="18"/>
          <w:szCs w:val="18"/>
        </w:rPr>
      </w:pPr>
      <w:r>
        <w:rPr>
          <w:rFonts w:cs="Times New Roman" w:hint="eastAsia"/>
          <w:sz w:val="18"/>
          <w:szCs w:val="18"/>
        </w:rPr>
        <w:t>  公司严格执行安全检查计划，加强监督管理，确保了项目职业健康安全目标、指标的实现。报告期内，未发生人员伤亡事故及环境污染事故，未发生火灾、机械设备等事故，通过安全标准化达标考核。</w:t>
      </w:r>
    </w:p>
    <w:p w:rsidR="00F068AD" w:rsidRDefault="00CB63CD">
      <w:r>
        <w:br w:type="page"/>
      </w:r>
    </w:p>
    <w:p w:rsidR="00F068AD" w:rsidRDefault="00CB63CD">
      <w:pPr>
        <w:pStyle w:val="headingh1"/>
        <w:spacing w:before="340" w:after="330" w:line="773" w:lineRule="exact"/>
        <w:jc w:val="center"/>
        <w:rPr>
          <w:rFonts w:ascii="宋体" w:eastAsia="宋体" w:hAnsi="宋体" w:cs="宋体"/>
          <w:b/>
          <w:bCs/>
          <w:sz w:val="32"/>
          <w:szCs w:val="32"/>
        </w:rPr>
      </w:pPr>
      <w:bookmarkStart w:id="47" w:name="_Toc988936"/>
      <w:r>
        <w:rPr>
          <w:rFonts w:ascii="宋体" w:eastAsia="宋体" w:hAnsi="宋体" w:cs="宋体"/>
          <w:b/>
          <w:bCs/>
          <w:sz w:val="32"/>
          <w:szCs w:val="32"/>
        </w:rPr>
        <w:lastRenderedPageBreak/>
        <w:t>第六节 重要事项</w:t>
      </w:r>
      <w:bookmarkEnd w:id="47"/>
    </w:p>
    <w:p w:rsidR="00F068AD" w:rsidRDefault="00CB63CD">
      <w:pPr>
        <w:pStyle w:val="2"/>
        <w:spacing w:before="300" w:after="300" w:line="320" w:lineRule="exact"/>
        <w:rPr>
          <w:rFonts w:ascii="宋体" w:eastAsia="宋体" w:hAnsi="宋体" w:cs="宋体"/>
          <w:b/>
          <w:bCs/>
          <w:sz w:val="24"/>
          <w:szCs w:val="24"/>
        </w:rPr>
      </w:pPr>
      <w:bookmarkStart w:id="48" w:name="_Toc988937"/>
      <w:r>
        <w:rPr>
          <w:rFonts w:ascii="宋体" w:eastAsia="宋体" w:hAnsi="宋体" w:cs="宋体"/>
          <w:b/>
          <w:bCs/>
          <w:sz w:val="24"/>
          <w:szCs w:val="24"/>
        </w:rPr>
        <w:t>一、公司实际控制人、股东、关联方、收购人以及公司等承诺相关方在报告期内履行完毕及截至报告期末超期未履行完毕的承诺事项</w:t>
      </w:r>
      <w:bookmarkEnd w:id="48"/>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公司报告期不存在由公司实际控制人、股东、关联方、收购人以及公司等承诺相关方在报告期内履行完毕及截至报告期末超期未履行完毕的承诺事项。</w:t>
      </w:r>
    </w:p>
    <w:p w:rsidR="00F068AD" w:rsidRDefault="00CB63CD">
      <w:pPr>
        <w:pStyle w:val="2"/>
        <w:spacing w:before="300" w:after="300" w:line="320" w:lineRule="exact"/>
        <w:rPr>
          <w:rFonts w:ascii="宋体" w:eastAsia="宋体" w:hAnsi="宋体" w:cs="宋体"/>
          <w:b/>
          <w:bCs/>
          <w:sz w:val="24"/>
          <w:szCs w:val="24"/>
        </w:rPr>
      </w:pPr>
      <w:bookmarkStart w:id="49" w:name="_Toc988938"/>
      <w:r>
        <w:rPr>
          <w:rFonts w:ascii="宋体" w:eastAsia="宋体" w:hAnsi="宋体" w:cs="宋体"/>
          <w:b/>
          <w:bCs/>
          <w:sz w:val="24"/>
          <w:szCs w:val="24"/>
        </w:rPr>
        <w:t>二、控股股东及其他关联方对上市公司的非经营性占用资金情况</w:t>
      </w:r>
      <w:bookmarkEnd w:id="49"/>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公司报告期不存在控股股东及其他关联方对上市公司的非经营性占用资金。</w:t>
      </w:r>
    </w:p>
    <w:p w:rsidR="00F068AD" w:rsidRDefault="00CB63CD">
      <w:pPr>
        <w:pStyle w:val="2"/>
        <w:spacing w:before="300" w:after="300" w:line="320" w:lineRule="exact"/>
        <w:rPr>
          <w:rFonts w:ascii="宋体" w:eastAsia="宋体" w:hAnsi="宋体" w:cs="宋体"/>
          <w:b/>
          <w:bCs/>
          <w:sz w:val="24"/>
          <w:szCs w:val="24"/>
        </w:rPr>
      </w:pPr>
      <w:bookmarkStart w:id="50" w:name="_Toc988939"/>
      <w:r>
        <w:rPr>
          <w:rFonts w:ascii="宋体" w:eastAsia="宋体" w:hAnsi="宋体" w:cs="宋体"/>
          <w:b/>
          <w:bCs/>
          <w:sz w:val="24"/>
          <w:szCs w:val="24"/>
        </w:rPr>
        <w:t>三、违规对外担保情况</w:t>
      </w:r>
      <w:bookmarkEnd w:id="50"/>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公司报告期无违规对外担保情况。</w:t>
      </w:r>
    </w:p>
    <w:p w:rsidR="00F068AD" w:rsidRDefault="00CB63CD">
      <w:pPr>
        <w:pStyle w:val="2"/>
        <w:spacing w:before="300" w:after="300" w:line="320" w:lineRule="exact"/>
        <w:rPr>
          <w:rFonts w:ascii="宋体" w:eastAsia="宋体" w:hAnsi="宋体" w:cs="宋体"/>
          <w:b/>
          <w:bCs/>
          <w:sz w:val="24"/>
          <w:szCs w:val="24"/>
        </w:rPr>
      </w:pPr>
      <w:bookmarkStart w:id="51" w:name="_Toc988940"/>
      <w:r>
        <w:rPr>
          <w:rFonts w:ascii="宋体" w:eastAsia="宋体" w:hAnsi="宋体" w:cs="宋体"/>
          <w:b/>
          <w:bCs/>
          <w:sz w:val="24"/>
          <w:szCs w:val="24"/>
        </w:rPr>
        <w:t>四、聘任、解聘会计师事务所情况</w:t>
      </w:r>
      <w:bookmarkEnd w:id="51"/>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半年度财务报告是否已经审计</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公司半年度报告未经审计。</w:t>
      </w:r>
    </w:p>
    <w:p w:rsidR="00F068AD" w:rsidRDefault="00CB63CD">
      <w:pPr>
        <w:pStyle w:val="2"/>
        <w:spacing w:before="300" w:after="300" w:line="320" w:lineRule="exact"/>
        <w:rPr>
          <w:rFonts w:ascii="宋体" w:eastAsia="宋体" w:hAnsi="宋体" w:cs="宋体"/>
          <w:b/>
          <w:bCs/>
          <w:sz w:val="24"/>
          <w:szCs w:val="24"/>
        </w:rPr>
      </w:pPr>
      <w:bookmarkStart w:id="52" w:name="_Toc988941"/>
      <w:r>
        <w:rPr>
          <w:rFonts w:ascii="宋体" w:eastAsia="宋体" w:hAnsi="宋体" w:cs="宋体"/>
          <w:b/>
          <w:bCs/>
          <w:sz w:val="24"/>
          <w:szCs w:val="24"/>
        </w:rPr>
        <w:t>五、董事会、监事会对会计师事务所本报告期“非标准审计报告”的说明</w:t>
      </w:r>
      <w:bookmarkEnd w:id="52"/>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pStyle w:val="2"/>
        <w:spacing w:before="300" w:after="300" w:line="320" w:lineRule="exact"/>
        <w:rPr>
          <w:rFonts w:ascii="宋体" w:eastAsia="宋体" w:hAnsi="宋体" w:cs="宋体"/>
          <w:b/>
          <w:bCs/>
          <w:sz w:val="24"/>
          <w:szCs w:val="24"/>
        </w:rPr>
      </w:pPr>
      <w:bookmarkStart w:id="53" w:name="_Toc988942"/>
      <w:r>
        <w:rPr>
          <w:rFonts w:ascii="宋体" w:eastAsia="宋体" w:hAnsi="宋体" w:cs="宋体"/>
          <w:b/>
          <w:bCs/>
          <w:sz w:val="24"/>
          <w:szCs w:val="24"/>
        </w:rPr>
        <w:t>六、董事会对上年度“非标准审计报告”相关情况的说明</w:t>
      </w:r>
      <w:bookmarkEnd w:id="53"/>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pStyle w:val="2"/>
        <w:spacing w:before="300" w:after="300" w:line="320" w:lineRule="exact"/>
        <w:rPr>
          <w:rFonts w:ascii="宋体" w:eastAsia="宋体" w:hAnsi="宋体" w:cs="宋体"/>
          <w:b/>
          <w:bCs/>
          <w:sz w:val="24"/>
          <w:szCs w:val="24"/>
        </w:rPr>
      </w:pPr>
      <w:bookmarkStart w:id="54" w:name="_Toc988943"/>
      <w:r>
        <w:rPr>
          <w:rFonts w:ascii="宋体" w:eastAsia="宋体" w:hAnsi="宋体" w:cs="宋体"/>
          <w:b/>
          <w:bCs/>
          <w:sz w:val="24"/>
          <w:szCs w:val="24"/>
        </w:rPr>
        <w:t>七、破产重整相关事项</w:t>
      </w:r>
      <w:bookmarkEnd w:id="54"/>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公司报告期未发生破产重整相关事项。</w:t>
      </w:r>
    </w:p>
    <w:p w:rsidR="00F068AD" w:rsidRDefault="00CB63CD">
      <w:pPr>
        <w:pStyle w:val="2"/>
        <w:spacing w:before="300" w:after="300" w:line="320" w:lineRule="exact"/>
        <w:rPr>
          <w:rFonts w:ascii="宋体" w:eastAsia="宋体" w:hAnsi="宋体" w:cs="宋体"/>
          <w:b/>
          <w:bCs/>
          <w:sz w:val="24"/>
          <w:szCs w:val="24"/>
        </w:rPr>
      </w:pPr>
      <w:bookmarkStart w:id="55" w:name="_Toc988944"/>
      <w:r>
        <w:rPr>
          <w:rFonts w:ascii="宋体" w:eastAsia="宋体" w:hAnsi="宋体" w:cs="宋体"/>
          <w:b/>
          <w:bCs/>
          <w:sz w:val="24"/>
          <w:szCs w:val="24"/>
        </w:rPr>
        <w:t>八、诉讼事项</w:t>
      </w:r>
      <w:bookmarkEnd w:id="55"/>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重大诉讼仲裁事项</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本报告期公司无重大诉讼、仲裁事项。</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其他诉讼事项</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pStyle w:val="2"/>
        <w:spacing w:before="300" w:after="300" w:line="320" w:lineRule="exact"/>
        <w:rPr>
          <w:rFonts w:ascii="宋体" w:eastAsia="宋体" w:hAnsi="宋体" w:cs="宋体"/>
          <w:b/>
          <w:bCs/>
          <w:sz w:val="24"/>
          <w:szCs w:val="24"/>
        </w:rPr>
      </w:pPr>
      <w:bookmarkStart w:id="56" w:name="_Toc988945"/>
      <w:r>
        <w:rPr>
          <w:rFonts w:ascii="宋体" w:eastAsia="宋体" w:hAnsi="宋体" w:cs="宋体"/>
          <w:b/>
          <w:bCs/>
          <w:sz w:val="24"/>
          <w:szCs w:val="24"/>
        </w:rPr>
        <w:lastRenderedPageBreak/>
        <w:t>九、处罚及整改情况</w:t>
      </w:r>
      <w:bookmarkEnd w:id="56"/>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pStyle w:val="2"/>
        <w:spacing w:before="300" w:after="300" w:line="320" w:lineRule="exact"/>
        <w:rPr>
          <w:rFonts w:ascii="宋体" w:eastAsia="宋体" w:hAnsi="宋体" w:cs="宋体"/>
          <w:b/>
          <w:bCs/>
          <w:sz w:val="24"/>
          <w:szCs w:val="24"/>
        </w:rPr>
      </w:pPr>
      <w:bookmarkStart w:id="57" w:name="_Toc988946"/>
      <w:r>
        <w:rPr>
          <w:rFonts w:ascii="宋体" w:eastAsia="宋体" w:hAnsi="宋体" w:cs="宋体"/>
          <w:b/>
          <w:bCs/>
          <w:sz w:val="24"/>
          <w:szCs w:val="24"/>
        </w:rPr>
        <w:t>十、公司及其控股股东、实际控制人的诚信状况</w:t>
      </w:r>
      <w:bookmarkEnd w:id="57"/>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pStyle w:val="2"/>
        <w:spacing w:before="300" w:after="300" w:line="320" w:lineRule="exact"/>
        <w:rPr>
          <w:rFonts w:ascii="宋体" w:eastAsia="宋体" w:hAnsi="宋体" w:cs="宋体"/>
          <w:b/>
          <w:bCs/>
          <w:sz w:val="24"/>
          <w:szCs w:val="24"/>
        </w:rPr>
      </w:pPr>
      <w:bookmarkStart w:id="58" w:name="_Toc988947"/>
      <w:r>
        <w:rPr>
          <w:rFonts w:ascii="宋体" w:eastAsia="宋体" w:hAnsi="宋体" w:cs="宋体"/>
          <w:b/>
          <w:bCs/>
          <w:sz w:val="24"/>
          <w:szCs w:val="24"/>
        </w:rPr>
        <w:t>十一、重大关联交易</w:t>
      </w:r>
      <w:bookmarkEnd w:id="58"/>
    </w:p>
    <w:p w:rsidR="00F068AD" w:rsidRDefault="00CB63CD">
      <w:pPr>
        <w:pStyle w:val="3"/>
        <w:spacing w:line="280" w:lineRule="exact"/>
        <w:jc w:val="left"/>
        <w:rPr>
          <w:rFonts w:ascii="宋体" w:hAnsi="宋体" w:cs="宋体"/>
          <w:b/>
          <w:bCs/>
        </w:rPr>
      </w:pPr>
      <w:bookmarkStart w:id="59" w:name="_Toc988948"/>
      <w:r>
        <w:rPr>
          <w:rFonts w:ascii="宋体" w:hAnsi="宋体" w:cs="宋体"/>
          <w:b/>
          <w:bCs/>
        </w:rPr>
        <w:t>1、与日常经营相关的关联交易</w:t>
      </w:r>
      <w:bookmarkEnd w:id="59"/>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公司报告期未发生与日常经营相关的</w:t>
      </w:r>
      <w:r w:rsidR="00BD65B6">
        <w:rPr>
          <w:rFonts w:ascii="宋体" w:eastAsia="宋体" w:hAnsi="宋体" w:cs="宋体"/>
          <w:sz w:val="18"/>
          <w:szCs w:val="18"/>
        </w:rPr>
        <w:t>重大</w:t>
      </w:r>
      <w:r>
        <w:rPr>
          <w:rFonts w:ascii="宋体" w:eastAsia="宋体" w:hAnsi="宋体" w:cs="宋体"/>
          <w:sz w:val="18"/>
          <w:szCs w:val="18"/>
        </w:rPr>
        <w:t>关联交易。</w:t>
      </w:r>
    </w:p>
    <w:p w:rsidR="00F068AD" w:rsidRDefault="00CB63CD">
      <w:pPr>
        <w:pStyle w:val="3"/>
        <w:spacing w:line="280" w:lineRule="exact"/>
        <w:jc w:val="left"/>
        <w:rPr>
          <w:rFonts w:ascii="宋体" w:hAnsi="宋体" w:cs="宋体"/>
          <w:b/>
          <w:bCs/>
        </w:rPr>
      </w:pPr>
      <w:bookmarkStart w:id="60" w:name="_Toc988949"/>
      <w:r>
        <w:rPr>
          <w:rFonts w:ascii="宋体" w:hAnsi="宋体" w:cs="宋体"/>
          <w:b/>
          <w:bCs/>
        </w:rPr>
        <w:t>2、资产或股权收购、出售发生的关联交易</w:t>
      </w:r>
      <w:bookmarkEnd w:id="60"/>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公司报告期未发生资产或股权收购、出售的关联交易。</w:t>
      </w:r>
    </w:p>
    <w:p w:rsidR="00F068AD" w:rsidRDefault="00CB63CD">
      <w:pPr>
        <w:pStyle w:val="3"/>
        <w:spacing w:line="280" w:lineRule="exact"/>
        <w:jc w:val="left"/>
        <w:rPr>
          <w:rFonts w:ascii="宋体" w:hAnsi="宋体" w:cs="宋体"/>
          <w:b/>
          <w:bCs/>
        </w:rPr>
      </w:pPr>
      <w:bookmarkStart w:id="61" w:name="_Toc988950"/>
      <w:r>
        <w:rPr>
          <w:rFonts w:ascii="宋体" w:hAnsi="宋体" w:cs="宋体"/>
          <w:b/>
          <w:bCs/>
        </w:rPr>
        <w:t>3、共同对外投资的关联交易</w:t>
      </w:r>
      <w:bookmarkEnd w:id="61"/>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公司报告期未发生共同对外投资的关联交易。</w:t>
      </w:r>
    </w:p>
    <w:p w:rsidR="00F068AD" w:rsidRDefault="00CB63CD">
      <w:pPr>
        <w:pStyle w:val="3"/>
        <w:spacing w:line="280" w:lineRule="exact"/>
        <w:jc w:val="left"/>
        <w:rPr>
          <w:rFonts w:ascii="宋体" w:hAnsi="宋体" w:cs="宋体"/>
          <w:b/>
          <w:bCs/>
        </w:rPr>
      </w:pPr>
      <w:bookmarkStart w:id="62" w:name="_Toc988951"/>
      <w:r>
        <w:rPr>
          <w:rFonts w:ascii="宋体" w:hAnsi="宋体" w:cs="宋体"/>
          <w:b/>
          <w:bCs/>
        </w:rPr>
        <w:t>4、关联债权债务往来</w:t>
      </w:r>
      <w:bookmarkEnd w:id="62"/>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是否存在非经营性关联债权债务往来</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公司报告期不存在非经营性关联债权债务往来。</w:t>
      </w:r>
    </w:p>
    <w:p w:rsidR="00F068AD" w:rsidRDefault="00CB63CD">
      <w:pPr>
        <w:pStyle w:val="3"/>
        <w:spacing w:line="280" w:lineRule="exact"/>
        <w:jc w:val="left"/>
        <w:rPr>
          <w:rFonts w:ascii="宋体" w:hAnsi="宋体" w:cs="宋体"/>
          <w:b/>
          <w:bCs/>
        </w:rPr>
      </w:pPr>
      <w:bookmarkStart w:id="63" w:name="_Toc988952"/>
      <w:r>
        <w:rPr>
          <w:rFonts w:ascii="宋体" w:hAnsi="宋体" w:cs="宋体"/>
          <w:b/>
          <w:bCs/>
        </w:rPr>
        <w:t>5、与存在关联关系的财务公司的往来情况</w:t>
      </w:r>
      <w:bookmarkEnd w:id="63"/>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存款业务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205"/>
        <w:gridCol w:w="1205"/>
        <w:gridCol w:w="1205"/>
        <w:gridCol w:w="1205"/>
        <w:gridCol w:w="1205"/>
      </w:tblGrid>
      <w:tr w:rsidR="00F068AD">
        <w:trPr>
          <w:trHeight w:val="240"/>
        </w:trPr>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关联关系</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每日最高存款限额（万元）</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存款利率范围</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期初余额（万元）</w:t>
            </w:r>
          </w:p>
        </w:tc>
        <w:tc>
          <w:tcPr>
            <w:tcW w:w="241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期末余额（万元）</w:t>
            </w:r>
          </w:p>
        </w:tc>
      </w:tr>
      <w:tr w:rsidR="00F068AD">
        <w:trPr>
          <w:trHeight w:val="240"/>
        </w:trPr>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本期合计存入金额（万元）</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本期合计取出金额（万元）</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江苏华西集团财务有限公司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同一母公司</w:t>
            </w: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80,000</w:t>
            </w: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0.35%-1.15%</w:t>
            </w: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193,477.2</w:t>
            </w: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193,477.2</w:t>
            </w: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w:t>
            </w:r>
          </w:p>
        </w:tc>
      </w:tr>
    </w:tbl>
    <w:p w:rsidR="00F068AD" w:rsidRDefault="00CB63CD">
      <w:pPr>
        <w:pStyle w:val="3"/>
        <w:spacing w:line="280" w:lineRule="exact"/>
        <w:jc w:val="left"/>
        <w:rPr>
          <w:rFonts w:ascii="宋体" w:hAnsi="宋体" w:cs="宋体"/>
          <w:b/>
          <w:bCs/>
        </w:rPr>
      </w:pPr>
      <w:bookmarkStart w:id="64" w:name="_Toc988953"/>
      <w:r>
        <w:rPr>
          <w:rFonts w:ascii="宋体" w:hAnsi="宋体" w:cs="宋体"/>
          <w:b/>
          <w:bCs/>
        </w:rPr>
        <w:t>6、公司控股的财务公司与关联方的往来情况</w:t>
      </w:r>
      <w:bookmarkEnd w:id="64"/>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pStyle w:val="3"/>
        <w:spacing w:line="280" w:lineRule="exact"/>
        <w:jc w:val="left"/>
        <w:rPr>
          <w:rFonts w:ascii="宋体" w:hAnsi="宋体" w:cs="宋体"/>
          <w:b/>
          <w:bCs/>
        </w:rPr>
      </w:pPr>
      <w:bookmarkStart w:id="65" w:name="_Toc988954"/>
      <w:r>
        <w:rPr>
          <w:rFonts w:ascii="宋体" w:hAnsi="宋体" w:cs="宋体"/>
          <w:b/>
          <w:bCs/>
        </w:rPr>
        <w:lastRenderedPageBreak/>
        <w:t>7、其他重大关联交易</w:t>
      </w:r>
      <w:bookmarkEnd w:id="65"/>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CB63CD" w:rsidRDefault="00CB63CD" w:rsidP="00BD65B6">
      <w:pPr>
        <w:pStyle w:val="a3"/>
        <w:ind w:firstLineChars="200" w:firstLine="360"/>
        <w:divId w:val="1885217488"/>
        <w:rPr>
          <w:sz w:val="18"/>
          <w:szCs w:val="18"/>
        </w:rPr>
      </w:pPr>
      <w:r>
        <w:rPr>
          <w:rFonts w:hint="eastAsia"/>
          <w:sz w:val="18"/>
          <w:szCs w:val="18"/>
        </w:rPr>
        <w:t>报告期内，公司第八届董事会第十次会议、2021年度股东大会审议通过了《关于收购股权暨关联交易的议案》，公司拟以自有资金收购澄华国际有限公司持有的华西码头25%股权，交易总金额为25,000万元。本次交易完成后，公司将持有华西码头100%股权。截止报告期末，该项股权收购尚未完成。详见公司于2022年4月27日刊登在《证券时报》和巨潮资讯网上的《第八届董事会第十次会议决议公告》（公告编号：2022-021）、《关于收购股权暨关联交易的公告》（公告编号：2022-013）、《2021年度股东大会决议公告》（公告编号：2022-034）。</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重大关联交易临时报告披露网站相关查询</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临时公告名称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临时公告披露日期</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临时公告披露网站名称</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关于收购股权暨关联交易的公告</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2022年04月27日</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巨潮资讯网（www.cninfo.com.cn)</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第八届董事会第十次会议决议公告</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2022年04月27日</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巨潮资讯网（www.cninfo.com.cn)</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2021年度股东大会决议公告</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2022年06月25日</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巨潮资讯网（www.cninfo.com.cn)</w:t>
            </w:r>
          </w:p>
        </w:tc>
      </w:tr>
    </w:tbl>
    <w:p w:rsidR="00F068AD" w:rsidRDefault="00CB63CD">
      <w:pPr>
        <w:pStyle w:val="2"/>
        <w:spacing w:before="300" w:after="300" w:line="320" w:lineRule="exact"/>
        <w:rPr>
          <w:rFonts w:ascii="宋体" w:eastAsia="宋体" w:hAnsi="宋体" w:cs="宋体"/>
          <w:b/>
          <w:bCs/>
          <w:sz w:val="24"/>
          <w:szCs w:val="24"/>
        </w:rPr>
      </w:pPr>
      <w:bookmarkStart w:id="66" w:name="_Toc988955"/>
      <w:r>
        <w:rPr>
          <w:rFonts w:ascii="宋体" w:eastAsia="宋体" w:hAnsi="宋体" w:cs="宋体"/>
          <w:b/>
          <w:bCs/>
          <w:sz w:val="24"/>
          <w:szCs w:val="24"/>
        </w:rPr>
        <w:t>十二、重大合同及其履行情况</w:t>
      </w:r>
      <w:bookmarkEnd w:id="66"/>
    </w:p>
    <w:p w:rsidR="00F068AD" w:rsidRDefault="00CB63CD">
      <w:pPr>
        <w:pStyle w:val="3"/>
        <w:spacing w:line="280" w:lineRule="exact"/>
        <w:jc w:val="left"/>
        <w:rPr>
          <w:rFonts w:ascii="宋体" w:hAnsi="宋体" w:cs="宋体"/>
          <w:b/>
          <w:bCs/>
        </w:rPr>
      </w:pPr>
      <w:bookmarkStart w:id="67" w:name="_Toc988956"/>
      <w:r>
        <w:rPr>
          <w:rFonts w:ascii="宋体" w:hAnsi="宋体" w:cs="宋体"/>
          <w:b/>
          <w:bCs/>
        </w:rPr>
        <w:t>1、托管、承包、租赁事项情况</w:t>
      </w:r>
      <w:bookmarkEnd w:id="67"/>
    </w:p>
    <w:p w:rsidR="00F068AD" w:rsidRDefault="00CB63CD">
      <w:pPr>
        <w:keepNext/>
        <w:keepLines/>
        <w:spacing w:before="300" w:after="300" w:line="280" w:lineRule="exact"/>
        <w:outlineLvl w:val="3"/>
        <w:rPr>
          <w:rFonts w:ascii="宋体" w:eastAsia="宋体" w:hAnsi="宋体" w:cs="宋体"/>
          <w:b/>
          <w:bCs/>
          <w:sz w:val="18"/>
          <w:szCs w:val="18"/>
        </w:rPr>
      </w:pPr>
      <w:bookmarkStart w:id="68" w:name="_Toc988957"/>
      <w:r>
        <w:rPr>
          <w:rFonts w:ascii="宋体" w:eastAsia="宋体" w:hAnsi="宋体" w:cs="宋体"/>
          <w:b/>
          <w:bCs/>
          <w:sz w:val="18"/>
          <w:szCs w:val="18"/>
        </w:rPr>
        <w:t>（1） 托管情况</w:t>
      </w:r>
      <w:bookmarkEnd w:id="68"/>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公司报告期不存在托管情况。</w:t>
      </w:r>
    </w:p>
    <w:p w:rsidR="00F068AD" w:rsidRDefault="00CB63CD">
      <w:pPr>
        <w:keepNext/>
        <w:keepLines/>
        <w:spacing w:before="300" w:after="300" w:line="280" w:lineRule="exact"/>
        <w:outlineLvl w:val="3"/>
        <w:rPr>
          <w:rFonts w:ascii="宋体" w:eastAsia="宋体" w:hAnsi="宋体" w:cs="宋体"/>
          <w:b/>
          <w:bCs/>
          <w:sz w:val="18"/>
          <w:szCs w:val="18"/>
        </w:rPr>
      </w:pPr>
      <w:bookmarkStart w:id="69" w:name="_Toc988958"/>
      <w:r>
        <w:rPr>
          <w:rFonts w:ascii="宋体" w:eastAsia="宋体" w:hAnsi="宋体" w:cs="宋体"/>
          <w:b/>
          <w:bCs/>
          <w:sz w:val="18"/>
          <w:szCs w:val="18"/>
        </w:rPr>
        <w:t>（2） 承包情况</w:t>
      </w:r>
      <w:bookmarkEnd w:id="69"/>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公司报告期不存在承包情况。</w:t>
      </w:r>
    </w:p>
    <w:p w:rsidR="00F068AD" w:rsidRDefault="00CB63CD">
      <w:pPr>
        <w:keepNext/>
        <w:keepLines/>
        <w:spacing w:before="300" w:after="300" w:line="280" w:lineRule="exact"/>
        <w:outlineLvl w:val="3"/>
        <w:rPr>
          <w:rFonts w:ascii="宋体" w:eastAsia="宋体" w:hAnsi="宋体" w:cs="宋体"/>
          <w:b/>
          <w:bCs/>
          <w:sz w:val="18"/>
          <w:szCs w:val="18"/>
        </w:rPr>
      </w:pPr>
      <w:bookmarkStart w:id="70" w:name="_Toc988959"/>
      <w:r>
        <w:rPr>
          <w:rFonts w:ascii="宋体" w:eastAsia="宋体" w:hAnsi="宋体" w:cs="宋体"/>
          <w:b/>
          <w:bCs/>
          <w:sz w:val="18"/>
          <w:szCs w:val="18"/>
        </w:rPr>
        <w:t>（3） 租赁情况</w:t>
      </w:r>
      <w:bookmarkEnd w:id="70"/>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公司报告期不存在租赁情况。</w:t>
      </w:r>
    </w:p>
    <w:p w:rsidR="00F068AD" w:rsidRDefault="00CB63CD">
      <w:pPr>
        <w:pStyle w:val="3"/>
        <w:spacing w:line="280" w:lineRule="exact"/>
        <w:jc w:val="left"/>
        <w:rPr>
          <w:rFonts w:ascii="宋体" w:hAnsi="宋体" w:cs="宋体"/>
          <w:b/>
          <w:bCs/>
        </w:rPr>
      </w:pPr>
      <w:bookmarkStart w:id="71" w:name="_Toc988960"/>
      <w:r>
        <w:rPr>
          <w:rFonts w:ascii="宋体" w:hAnsi="宋体" w:cs="宋体"/>
          <w:b/>
          <w:bCs/>
        </w:rPr>
        <w:t>2、重大担保</w:t>
      </w:r>
      <w:bookmarkEnd w:id="71"/>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F068AD" w:rsidRDefault="00CB63CD">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7"/>
        <w:gridCol w:w="876"/>
        <w:gridCol w:w="877"/>
        <w:gridCol w:w="876"/>
        <w:gridCol w:w="877"/>
        <w:gridCol w:w="876"/>
        <w:gridCol w:w="876"/>
        <w:gridCol w:w="876"/>
        <w:gridCol w:w="876"/>
        <w:gridCol w:w="877"/>
      </w:tblGrid>
      <w:tr w:rsidR="00F068AD">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公司及其子公司对外担保情况（不包括对子公司的担保）</w:t>
            </w:r>
          </w:p>
        </w:tc>
      </w:tr>
      <w:tr w:rsidR="00F068AD" w:rsidTr="00BD65B6">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担保对象名称</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担保额度相关公告披露日期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实际发生日期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实际担保金额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担保类型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担保物（如有）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反担保情况（如有）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担保期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是否履行完毕</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是否为关联方担保</w:t>
            </w:r>
          </w:p>
        </w:tc>
      </w:tr>
      <w:tr w:rsidR="00BD65B6" w:rsidTr="00BD65B6">
        <w:trPr>
          <w:trHeight w:val="240"/>
        </w:trPr>
        <w:tc>
          <w:tcPr>
            <w:tcW w:w="875" w:type="dxa"/>
            <w:vMerge w:val="restart"/>
            <w:tcBorders>
              <w:top w:val="single" w:sz="2" w:space="0" w:color="auto"/>
              <w:left w:val="single" w:sz="2" w:space="0" w:color="auto"/>
              <w:right w:val="single" w:sz="2" w:space="0" w:color="auto"/>
            </w:tcBorders>
            <w:vAlign w:val="center"/>
          </w:tcPr>
          <w:p w:rsidR="00BD65B6" w:rsidRDefault="00BD65B6" w:rsidP="00BD65B6">
            <w:pPr>
              <w:spacing w:line="240" w:lineRule="exact"/>
              <w:jc w:val="center"/>
              <w:rPr>
                <w:rFonts w:ascii="宋体" w:eastAsia="宋体" w:hAnsi="宋体" w:cs="宋体"/>
                <w:sz w:val="18"/>
                <w:szCs w:val="18"/>
              </w:rPr>
            </w:pPr>
          </w:p>
          <w:p w:rsidR="00BD65B6" w:rsidRDefault="00BD65B6" w:rsidP="00BD65B6">
            <w:pPr>
              <w:spacing w:line="240" w:lineRule="exact"/>
              <w:jc w:val="center"/>
              <w:rPr>
                <w:rFonts w:ascii="宋体" w:eastAsia="宋体" w:hAnsi="宋体" w:cs="宋体"/>
                <w:sz w:val="18"/>
                <w:szCs w:val="18"/>
              </w:rPr>
            </w:pPr>
          </w:p>
          <w:p w:rsidR="00BD65B6" w:rsidRDefault="00BD65B6" w:rsidP="00BD65B6">
            <w:pPr>
              <w:spacing w:line="240" w:lineRule="exact"/>
              <w:jc w:val="center"/>
              <w:rPr>
                <w:rFonts w:ascii="宋体" w:eastAsia="宋体" w:hAnsi="宋体" w:cs="宋体"/>
                <w:sz w:val="18"/>
                <w:szCs w:val="18"/>
              </w:rPr>
            </w:pPr>
          </w:p>
          <w:p w:rsidR="00BD65B6" w:rsidRDefault="00BD65B6" w:rsidP="00BD65B6">
            <w:pPr>
              <w:spacing w:line="240" w:lineRule="exact"/>
              <w:jc w:val="center"/>
              <w:rPr>
                <w:rFonts w:ascii="宋体" w:eastAsia="宋体" w:hAnsi="宋体" w:cs="宋体"/>
                <w:sz w:val="18"/>
                <w:szCs w:val="18"/>
              </w:rPr>
            </w:pPr>
          </w:p>
          <w:p w:rsidR="00BD65B6" w:rsidRDefault="00BD65B6" w:rsidP="00BD65B6">
            <w:pPr>
              <w:spacing w:line="240" w:lineRule="exact"/>
              <w:jc w:val="center"/>
              <w:rPr>
                <w:rFonts w:ascii="宋体" w:eastAsia="宋体" w:hAnsi="宋体" w:cs="宋体"/>
                <w:sz w:val="18"/>
                <w:szCs w:val="18"/>
              </w:rPr>
            </w:pPr>
          </w:p>
          <w:p w:rsidR="00BD65B6" w:rsidRDefault="00BD65B6" w:rsidP="00BD65B6">
            <w:pPr>
              <w:spacing w:line="240" w:lineRule="exact"/>
              <w:jc w:val="center"/>
              <w:rPr>
                <w:rFonts w:ascii="宋体" w:eastAsia="宋体" w:hAnsi="宋体" w:cs="宋体"/>
                <w:sz w:val="18"/>
                <w:szCs w:val="18"/>
              </w:rPr>
            </w:pPr>
          </w:p>
          <w:p w:rsidR="00BD65B6" w:rsidRDefault="00BD65B6" w:rsidP="00BD65B6">
            <w:pPr>
              <w:spacing w:line="240" w:lineRule="exact"/>
              <w:jc w:val="center"/>
              <w:rPr>
                <w:rFonts w:ascii="宋体" w:eastAsia="宋体" w:hAnsi="宋体" w:cs="宋体"/>
                <w:sz w:val="18"/>
                <w:szCs w:val="18"/>
              </w:rPr>
            </w:pPr>
          </w:p>
          <w:p w:rsidR="00BD65B6" w:rsidRDefault="00BD65B6" w:rsidP="00BD65B6">
            <w:pPr>
              <w:spacing w:line="240" w:lineRule="exact"/>
              <w:jc w:val="center"/>
              <w:rPr>
                <w:rFonts w:ascii="宋体" w:eastAsia="宋体" w:hAnsi="宋体" w:cs="宋体"/>
                <w:sz w:val="18"/>
                <w:szCs w:val="18"/>
              </w:rPr>
            </w:pPr>
            <w:r>
              <w:rPr>
                <w:rFonts w:ascii="宋体" w:eastAsia="宋体" w:hAnsi="宋体" w:cs="宋体"/>
                <w:sz w:val="18"/>
                <w:szCs w:val="18"/>
              </w:rPr>
              <w:t>江苏华西集团有限公司</w:t>
            </w:r>
          </w:p>
        </w:tc>
        <w:tc>
          <w:tcPr>
            <w:tcW w:w="877" w:type="dxa"/>
            <w:vMerge w:val="restart"/>
            <w:tcBorders>
              <w:top w:val="single" w:sz="2" w:space="0" w:color="auto"/>
              <w:left w:val="single" w:sz="2" w:space="0" w:color="auto"/>
              <w:right w:val="single" w:sz="2" w:space="0" w:color="auto"/>
            </w:tcBorders>
            <w:vAlign w:val="center"/>
          </w:tcPr>
          <w:p w:rsidR="00BD65B6" w:rsidRDefault="00BD65B6" w:rsidP="00BD65B6">
            <w:pPr>
              <w:spacing w:line="240" w:lineRule="exact"/>
              <w:jc w:val="center"/>
              <w:rPr>
                <w:rFonts w:ascii="宋体" w:eastAsia="宋体" w:hAnsi="宋体" w:cs="宋体"/>
                <w:sz w:val="18"/>
                <w:szCs w:val="18"/>
              </w:rPr>
            </w:pPr>
          </w:p>
          <w:p w:rsidR="00BD65B6" w:rsidRDefault="00BD65B6" w:rsidP="00BD65B6">
            <w:pPr>
              <w:spacing w:line="240" w:lineRule="exact"/>
              <w:jc w:val="center"/>
              <w:rPr>
                <w:rFonts w:ascii="宋体" w:eastAsia="宋体" w:hAnsi="宋体" w:cs="宋体"/>
                <w:sz w:val="18"/>
                <w:szCs w:val="18"/>
              </w:rPr>
            </w:pPr>
          </w:p>
          <w:p w:rsidR="00BD65B6" w:rsidRDefault="00BD65B6" w:rsidP="00BD65B6">
            <w:pPr>
              <w:spacing w:line="240" w:lineRule="exact"/>
              <w:jc w:val="center"/>
              <w:rPr>
                <w:rFonts w:ascii="宋体" w:eastAsia="宋体" w:hAnsi="宋体" w:cs="宋体"/>
                <w:sz w:val="18"/>
                <w:szCs w:val="18"/>
              </w:rPr>
            </w:pPr>
          </w:p>
          <w:p w:rsidR="00BD65B6" w:rsidRDefault="00BD65B6" w:rsidP="00BD65B6">
            <w:pPr>
              <w:spacing w:line="240" w:lineRule="exact"/>
              <w:jc w:val="center"/>
              <w:rPr>
                <w:rFonts w:ascii="宋体" w:eastAsia="宋体" w:hAnsi="宋体" w:cs="宋体"/>
                <w:sz w:val="18"/>
                <w:szCs w:val="18"/>
              </w:rPr>
            </w:pPr>
          </w:p>
          <w:p w:rsidR="00BD65B6" w:rsidRDefault="00BD65B6" w:rsidP="00BD65B6">
            <w:pPr>
              <w:spacing w:line="240" w:lineRule="exact"/>
              <w:jc w:val="center"/>
              <w:rPr>
                <w:rFonts w:ascii="宋体" w:eastAsia="宋体" w:hAnsi="宋体" w:cs="宋体"/>
                <w:sz w:val="18"/>
                <w:szCs w:val="18"/>
              </w:rPr>
            </w:pPr>
          </w:p>
          <w:p w:rsidR="00BD65B6" w:rsidRDefault="00BD65B6" w:rsidP="00BD65B6">
            <w:pPr>
              <w:spacing w:line="240" w:lineRule="exact"/>
              <w:jc w:val="center"/>
              <w:rPr>
                <w:rFonts w:ascii="宋体" w:eastAsia="宋体" w:hAnsi="宋体" w:cs="宋体"/>
                <w:sz w:val="18"/>
                <w:szCs w:val="18"/>
              </w:rPr>
            </w:pPr>
          </w:p>
          <w:p w:rsidR="00BD65B6" w:rsidRDefault="00BD65B6" w:rsidP="00BD65B6">
            <w:pPr>
              <w:spacing w:line="240" w:lineRule="exact"/>
              <w:jc w:val="center"/>
              <w:rPr>
                <w:rFonts w:ascii="宋体" w:eastAsia="宋体" w:hAnsi="宋体" w:cs="宋体"/>
                <w:sz w:val="18"/>
                <w:szCs w:val="18"/>
              </w:rPr>
            </w:pPr>
          </w:p>
          <w:p w:rsidR="00BD65B6" w:rsidRDefault="00BD65B6" w:rsidP="00BD65B6">
            <w:pPr>
              <w:spacing w:line="240" w:lineRule="exact"/>
              <w:jc w:val="center"/>
              <w:rPr>
                <w:rFonts w:ascii="宋体" w:eastAsia="宋体" w:hAnsi="宋体" w:cs="宋体"/>
                <w:sz w:val="18"/>
                <w:szCs w:val="18"/>
              </w:rPr>
            </w:pPr>
            <w:r>
              <w:rPr>
                <w:rFonts w:ascii="宋体" w:eastAsia="宋体" w:hAnsi="宋体" w:cs="宋体"/>
                <w:sz w:val="18"/>
                <w:szCs w:val="18"/>
              </w:rPr>
              <w:t>2021年04月30日</w:t>
            </w:r>
          </w:p>
        </w:tc>
        <w:tc>
          <w:tcPr>
            <w:tcW w:w="876" w:type="dxa"/>
            <w:vMerge w:val="restart"/>
            <w:tcBorders>
              <w:top w:val="single" w:sz="2" w:space="0" w:color="auto"/>
              <w:left w:val="single" w:sz="2" w:space="0" w:color="auto"/>
              <w:right w:val="single" w:sz="2" w:space="0" w:color="auto"/>
            </w:tcBorders>
            <w:vAlign w:val="center"/>
          </w:tcPr>
          <w:p w:rsidR="00BD65B6" w:rsidRDefault="00BD65B6" w:rsidP="00BD65B6">
            <w:pPr>
              <w:spacing w:line="240" w:lineRule="exact"/>
              <w:jc w:val="center"/>
              <w:rPr>
                <w:rFonts w:ascii="宋体" w:eastAsia="宋体" w:hAnsi="宋体" w:cs="宋体"/>
                <w:sz w:val="18"/>
                <w:szCs w:val="18"/>
              </w:rPr>
            </w:pPr>
          </w:p>
          <w:p w:rsidR="00BD65B6" w:rsidRDefault="00BD65B6" w:rsidP="00BD65B6">
            <w:pPr>
              <w:spacing w:line="240" w:lineRule="exact"/>
              <w:jc w:val="center"/>
              <w:rPr>
                <w:rFonts w:ascii="宋体" w:eastAsia="宋体" w:hAnsi="宋体" w:cs="宋体"/>
                <w:sz w:val="18"/>
                <w:szCs w:val="18"/>
              </w:rPr>
            </w:pPr>
          </w:p>
          <w:p w:rsidR="00BD65B6" w:rsidRDefault="00BD65B6" w:rsidP="00BD65B6">
            <w:pPr>
              <w:spacing w:line="240" w:lineRule="exact"/>
              <w:jc w:val="center"/>
              <w:rPr>
                <w:rFonts w:ascii="宋体" w:eastAsia="宋体" w:hAnsi="宋体" w:cs="宋体"/>
                <w:sz w:val="18"/>
                <w:szCs w:val="18"/>
              </w:rPr>
            </w:pPr>
          </w:p>
          <w:p w:rsidR="00BD65B6" w:rsidRDefault="00BD65B6" w:rsidP="00BD65B6">
            <w:pPr>
              <w:spacing w:line="240" w:lineRule="exact"/>
              <w:jc w:val="center"/>
              <w:rPr>
                <w:rFonts w:ascii="宋体" w:eastAsia="宋体" w:hAnsi="宋体" w:cs="宋体"/>
                <w:sz w:val="18"/>
                <w:szCs w:val="18"/>
              </w:rPr>
            </w:pPr>
          </w:p>
          <w:p w:rsidR="00BD65B6" w:rsidRDefault="00BD65B6" w:rsidP="00BD65B6">
            <w:pPr>
              <w:spacing w:line="240" w:lineRule="exact"/>
              <w:jc w:val="center"/>
              <w:rPr>
                <w:rFonts w:ascii="宋体" w:eastAsia="宋体" w:hAnsi="宋体" w:cs="宋体"/>
                <w:sz w:val="18"/>
                <w:szCs w:val="18"/>
              </w:rPr>
            </w:pPr>
          </w:p>
          <w:p w:rsidR="00BD65B6" w:rsidRDefault="00BD65B6" w:rsidP="00BD65B6">
            <w:pPr>
              <w:spacing w:line="240" w:lineRule="exact"/>
              <w:jc w:val="center"/>
              <w:rPr>
                <w:rFonts w:ascii="宋体" w:eastAsia="宋体" w:hAnsi="宋体" w:cs="宋体"/>
                <w:sz w:val="18"/>
                <w:szCs w:val="18"/>
              </w:rPr>
            </w:pPr>
          </w:p>
          <w:p w:rsidR="00BD65B6" w:rsidRDefault="00BD65B6" w:rsidP="00BD65B6">
            <w:pPr>
              <w:spacing w:line="240" w:lineRule="exact"/>
              <w:jc w:val="center"/>
              <w:rPr>
                <w:rFonts w:ascii="宋体" w:eastAsia="宋体" w:hAnsi="宋体" w:cs="宋体"/>
                <w:sz w:val="18"/>
                <w:szCs w:val="18"/>
              </w:rPr>
            </w:pPr>
          </w:p>
          <w:p w:rsidR="00BD65B6" w:rsidRDefault="00BD65B6" w:rsidP="00BD65B6">
            <w:pPr>
              <w:spacing w:line="240" w:lineRule="exact"/>
              <w:jc w:val="center"/>
              <w:rPr>
                <w:rFonts w:ascii="宋体" w:eastAsia="宋体" w:hAnsi="宋体" w:cs="宋体"/>
                <w:sz w:val="18"/>
                <w:szCs w:val="18"/>
              </w:rPr>
            </w:pPr>
            <w:r>
              <w:rPr>
                <w:rFonts w:ascii="宋体" w:eastAsia="宋体" w:hAnsi="宋体" w:cs="宋体"/>
                <w:sz w:val="18"/>
                <w:szCs w:val="18"/>
              </w:rPr>
              <w:t>45,000</w:t>
            </w:r>
          </w:p>
          <w:p w:rsidR="00BD65B6" w:rsidRDefault="00BD65B6" w:rsidP="00BD65B6">
            <w:pPr>
              <w:spacing w:line="240" w:lineRule="exact"/>
              <w:jc w:val="center"/>
              <w:rPr>
                <w:rFonts w:ascii="宋体" w:eastAsia="宋体" w:hAnsi="宋体" w:cs="宋体"/>
                <w:sz w:val="18"/>
                <w:szCs w:val="18"/>
              </w:rPr>
            </w:pPr>
            <w:r>
              <w:rPr>
                <w:rFonts w:ascii="宋体" w:eastAsia="宋体" w:hAnsi="宋体" w:cs="宋体" w:hint="eastAsia"/>
                <w:sz w:val="18"/>
                <w:szCs w:val="18"/>
              </w:rPr>
              <w:t>（注）</w:t>
            </w: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lastRenderedPageBreak/>
              <w:t>2021年04月25日</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jc w:val="right"/>
              <w:rPr>
                <w:rFonts w:ascii="宋体" w:eastAsia="宋体" w:hAnsi="宋体" w:cs="宋体"/>
                <w:sz w:val="18"/>
                <w:szCs w:val="18"/>
              </w:rPr>
            </w:pPr>
            <w:r>
              <w:rPr>
                <w:rFonts w:ascii="宋体" w:eastAsia="宋体" w:hAnsi="宋体" w:cs="宋体"/>
                <w:sz w:val="18"/>
                <w:szCs w:val="18"/>
              </w:rPr>
              <w:t>9,996</w:t>
            </w: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至2022-08-18</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是</w:t>
            </w:r>
          </w:p>
        </w:tc>
      </w:tr>
      <w:tr w:rsidR="00BD65B6" w:rsidTr="00640995">
        <w:trPr>
          <w:trHeight w:val="240"/>
        </w:trPr>
        <w:tc>
          <w:tcPr>
            <w:tcW w:w="875" w:type="dxa"/>
            <w:vMerge/>
            <w:tcBorders>
              <w:left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BD65B6" w:rsidRDefault="00BD65B6">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2021年</w:t>
            </w:r>
            <w:r>
              <w:rPr>
                <w:rFonts w:ascii="宋体" w:eastAsia="宋体" w:hAnsi="宋体" w:cs="宋体"/>
                <w:sz w:val="18"/>
                <w:szCs w:val="18"/>
              </w:rPr>
              <w:lastRenderedPageBreak/>
              <w:t>05月21日</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jc w:val="right"/>
              <w:rPr>
                <w:rFonts w:ascii="宋体" w:eastAsia="宋体" w:hAnsi="宋体" w:cs="宋体"/>
                <w:sz w:val="18"/>
                <w:szCs w:val="18"/>
              </w:rPr>
            </w:pPr>
            <w:r>
              <w:rPr>
                <w:rFonts w:ascii="宋体" w:eastAsia="宋体" w:hAnsi="宋体" w:cs="宋体"/>
                <w:sz w:val="18"/>
                <w:szCs w:val="18"/>
              </w:rPr>
              <w:lastRenderedPageBreak/>
              <w:t>10,000</w:t>
            </w: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连带责</w:t>
            </w:r>
            <w:r>
              <w:rPr>
                <w:rFonts w:ascii="宋体" w:eastAsia="宋体" w:hAnsi="宋体" w:cs="宋体"/>
                <w:sz w:val="18"/>
                <w:szCs w:val="18"/>
              </w:rPr>
              <w:lastRenderedPageBreak/>
              <w:t>任担保</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至</w:t>
            </w:r>
            <w:r>
              <w:rPr>
                <w:rFonts w:ascii="宋体" w:eastAsia="宋体" w:hAnsi="宋体" w:cs="宋体"/>
                <w:sz w:val="18"/>
                <w:szCs w:val="18"/>
              </w:rPr>
              <w:lastRenderedPageBreak/>
              <w:t>2022-09-18</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lastRenderedPageBreak/>
              <w:t>否</w:t>
            </w: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是</w:t>
            </w:r>
          </w:p>
        </w:tc>
      </w:tr>
      <w:tr w:rsidR="00BD65B6" w:rsidTr="00640995">
        <w:trPr>
          <w:trHeight w:val="240"/>
        </w:trPr>
        <w:tc>
          <w:tcPr>
            <w:tcW w:w="875" w:type="dxa"/>
            <w:vMerge/>
            <w:tcBorders>
              <w:left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BD65B6" w:rsidRDefault="00BD65B6">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2021年07月09日</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jc w:val="right"/>
              <w:rPr>
                <w:rFonts w:ascii="宋体" w:eastAsia="宋体" w:hAnsi="宋体" w:cs="宋体"/>
                <w:sz w:val="18"/>
                <w:szCs w:val="18"/>
              </w:rPr>
            </w:pPr>
            <w:r>
              <w:rPr>
                <w:rFonts w:ascii="宋体" w:eastAsia="宋体" w:hAnsi="宋体" w:cs="宋体"/>
                <w:sz w:val="18"/>
                <w:szCs w:val="18"/>
              </w:rPr>
              <w:t>9,000</w:t>
            </w: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至2022-07-06</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是</w:t>
            </w:r>
          </w:p>
        </w:tc>
      </w:tr>
      <w:tr w:rsidR="00BD65B6" w:rsidTr="00640995">
        <w:trPr>
          <w:trHeight w:val="240"/>
        </w:trPr>
        <w:tc>
          <w:tcPr>
            <w:tcW w:w="875" w:type="dxa"/>
            <w:vMerge/>
            <w:tcBorders>
              <w:left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BD65B6" w:rsidRDefault="00BD65B6">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2021年07月12日</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jc w:val="right"/>
              <w:rPr>
                <w:rFonts w:ascii="宋体" w:eastAsia="宋体" w:hAnsi="宋体" w:cs="宋体"/>
                <w:sz w:val="18"/>
                <w:szCs w:val="18"/>
              </w:rPr>
            </w:pPr>
            <w:r>
              <w:rPr>
                <w:rFonts w:ascii="宋体" w:eastAsia="宋体" w:hAnsi="宋体" w:cs="宋体"/>
                <w:sz w:val="18"/>
                <w:szCs w:val="18"/>
              </w:rPr>
              <w:t>6,000</w:t>
            </w: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至2022-07-08</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是</w:t>
            </w:r>
          </w:p>
        </w:tc>
      </w:tr>
      <w:tr w:rsidR="00BD65B6" w:rsidTr="00640995">
        <w:trPr>
          <w:trHeight w:val="240"/>
        </w:trPr>
        <w:tc>
          <w:tcPr>
            <w:tcW w:w="875" w:type="dxa"/>
            <w:vMerge/>
            <w:tcBorders>
              <w:left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BD65B6" w:rsidRDefault="00BD65B6">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2021年07月20日</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jc w:val="right"/>
              <w:rPr>
                <w:rFonts w:ascii="宋体" w:eastAsia="宋体" w:hAnsi="宋体" w:cs="宋体"/>
                <w:sz w:val="18"/>
                <w:szCs w:val="18"/>
              </w:rPr>
            </w:pPr>
            <w:r>
              <w:rPr>
                <w:rFonts w:ascii="宋体" w:eastAsia="宋体" w:hAnsi="宋体" w:cs="宋体"/>
                <w:sz w:val="18"/>
                <w:szCs w:val="18"/>
              </w:rPr>
              <w:t>5,000</w:t>
            </w: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至2022-07-20</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是</w:t>
            </w:r>
          </w:p>
        </w:tc>
      </w:tr>
      <w:tr w:rsidR="00BD65B6" w:rsidTr="00640995">
        <w:trPr>
          <w:trHeight w:val="240"/>
        </w:trPr>
        <w:tc>
          <w:tcPr>
            <w:tcW w:w="875" w:type="dxa"/>
            <w:vMerge/>
            <w:tcBorders>
              <w:left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BD65B6" w:rsidRDefault="00BD65B6">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2021年07月06日</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jc w:val="right"/>
              <w:rPr>
                <w:rFonts w:ascii="宋体" w:eastAsia="宋体" w:hAnsi="宋体" w:cs="宋体"/>
                <w:sz w:val="18"/>
                <w:szCs w:val="18"/>
              </w:rPr>
            </w:pPr>
            <w:r>
              <w:rPr>
                <w:rFonts w:ascii="宋体" w:eastAsia="宋体" w:hAnsi="宋体" w:cs="宋体"/>
                <w:sz w:val="18"/>
                <w:szCs w:val="18"/>
              </w:rPr>
              <w:t>20,000</w:t>
            </w: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至2022-07-04</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是</w:t>
            </w:r>
          </w:p>
        </w:tc>
      </w:tr>
      <w:tr w:rsidR="00BD65B6" w:rsidTr="00640995">
        <w:trPr>
          <w:trHeight w:val="240"/>
        </w:trPr>
        <w:tc>
          <w:tcPr>
            <w:tcW w:w="875" w:type="dxa"/>
            <w:vMerge/>
            <w:tcBorders>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6" w:type="dxa"/>
            <w:vMerge/>
            <w:tcBorders>
              <w:left w:val="single" w:sz="2" w:space="0" w:color="auto"/>
              <w:bottom w:val="single" w:sz="2" w:space="0" w:color="auto"/>
              <w:right w:val="single" w:sz="2" w:space="0" w:color="auto"/>
            </w:tcBorders>
            <w:vAlign w:val="center"/>
          </w:tcPr>
          <w:p w:rsidR="00BD65B6" w:rsidRDefault="00BD65B6">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2021年08月13日</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jc w:val="right"/>
              <w:rPr>
                <w:rFonts w:ascii="宋体" w:eastAsia="宋体" w:hAnsi="宋体" w:cs="宋体"/>
                <w:sz w:val="18"/>
                <w:szCs w:val="18"/>
              </w:rPr>
            </w:pPr>
            <w:r>
              <w:rPr>
                <w:rFonts w:ascii="宋体" w:eastAsia="宋体" w:hAnsi="宋体" w:cs="宋体"/>
                <w:sz w:val="18"/>
                <w:szCs w:val="18"/>
              </w:rPr>
              <w:t>5,000</w:t>
            </w: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至2022-08-11</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是</w:t>
            </w:r>
          </w:p>
        </w:tc>
      </w:tr>
      <w:tr w:rsidR="00F068AD" w:rsidTr="00BD65B6">
        <w:trPr>
          <w:trHeight w:val="240"/>
        </w:trPr>
        <w:tc>
          <w:tcPr>
            <w:tcW w:w="875"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8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2021年04月30日</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20,000</w:t>
            </w:r>
          </w:p>
        </w:tc>
        <w:tc>
          <w:tcPr>
            <w:tcW w:w="8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2020年09月29日</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20,000</w:t>
            </w:r>
          </w:p>
        </w:tc>
        <w:tc>
          <w:tcPr>
            <w:tcW w:w="8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至2023-03-29</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是</w:t>
            </w:r>
          </w:p>
        </w:tc>
      </w:tr>
      <w:tr w:rsidR="00BD65B6" w:rsidTr="00640995">
        <w:trPr>
          <w:trHeight w:val="240"/>
        </w:trPr>
        <w:tc>
          <w:tcPr>
            <w:tcW w:w="875" w:type="dxa"/>
            <w:vMerge w:val="restart"/>
            <w:tcBorders>
              <w:top w:val="single" w:sz="2" w:space="0" w:color="auto"/>
              <w:left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877" w:type="dxa"/>
            <w:vMerge w:val="restart"/>
            <w:tcBorders>
              <w:top w:val="single" w:sz="2" w:space="0" w:color="auto"/>
              <w:left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2021年04月30日</w:t>
            </w:r>
          </w:p>
        </w:tc>
        <w:tc>
          <w:tcPr>
            <w:tcW w:w="876" w:type="dxa"/>
            <w:vMerge w:val="restart"/>
            <w:tcBorders>
              <w:top w:val="single" w:sz="2" w:space="0" w:color="auto"/>
              <w:left w:val="single" w:sz="2" w:space="0" w:color="auto"/>
              <w:right w:val="single" w:sz="2" w:space="0" w:color="auto"/>
            </w:tcBorders>
            <w:vAlign w:val="center"/>
          </w:tcPr>
          <w:p w:rsidR="00BD65B6" w:rsidRDefault="00BD65B6">
            <w:pPr>
              <w:spacing w:line="240" w:lineRule="exact"/>
              <w:jc w:val="right"/>
              <w:rPr>
                <w:rFonts w:ascii="宋体" w:eastAsia="宋体" w:hAnsi="宋体" w:cs="宋体"/>
                <w:sz w:val="18"/>
                <w:szCs w:val="18"/>
              </w:rPr>
            </w:pPr>
            <w:r>
              <w:rPr>
                <w:rFonts w:ascii="宋体" w:eastAsia="宋体" w:hAnsi="宋体" w:cs="宋体"/>
                <w:sz w:val="18"/>
                <w:szCs w:val="18"/>
              </w:rPr>
              <w:t>7,000</w:t>
            </w: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2021年07月27日</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jc w:val="right"/>
              <w:rPr>
                <w:rFonts w:ascii="宋体" w:eastAsia="宋体" w:hAnsi="宋体" w:cs="宋体"/>
                <w:sz w:val="18"/>
                <w:szCs w:val="18"/>
              </w:rPr>
            </w:pPr>
            <w:r>
              <w:rPr>
                <w:rFonts w:ascii="宋体" w:eastAsia="宋体" w:hAnsi="宋体" w:cs="宋体"/>
                <w:sz w:val="18"/>
                <w:szCs w:val="18"/>
              </w:rPr>
              <w:t>450</w:t>
            </w: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至2022-01-27</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是</w:t>
            </w:r>
          </w:p>
        </w:tc>
      </w:tr>
      <w:tr w:rsidR="00BD65B6" w:rsidTr="00640995">
        <w:trPr>
          <w:trHeight w:val="240"/>
        </w:trPr>
        <w:tc>
          <w:tcPr>
            <w:tcW w:w="875" w:type="dxa"/>
            <w:vMerge/>
            <w:tcBorders>
              <w:left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BD65B6" w:rsidRDefault="00BD65B6">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2021年08月23日</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jc w:val="right"/>
              <w:rPr>
                <w:rFonts w:ascii="宋体" w:eastAsia="宋体" w:hAnsi="宋体" w:cs="宋体"/>
                <w:sz w:val="18"/>
                <w:szCs w:val="18"/>
              </w:rPr>
            </w:pPr>
            <w:r>
              <w:rPr>
                <w:rFonts w:ascii="宋体" w:eastAsia="宋体" w:hAnsi="宋体" w:cs="宋体"/>
                <w:sz w:val="18"/>
                <w:szCs w:val="18"/>
              </w:rPr>
              <w:t>3,550</w:t>
            </w: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至2022-02-23</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是</w:t>
            </w:r>
          </w:p>
        </w:tc>
      </w:tr>
      <w:tr w:rsidR="00BD65B6" w:rsidTr="00640995">
        <w:trPr>
          <w:trHeight w:val="240"/>
        </w:trPr>
        <w:tc>
          <w:tcPr>
            <w:tcW w:w="875" w:type="dxa"/>
            <w:vMerge/>
            <w:tcBorders>
              <w:left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BD65B6" w:rsidRDefault="00BD65B6">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2021年10月28日</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jc w:val="right"/>
              <w:rPr>
                <w:rFonts w:ascii="宋体" w:eastAsia="宋体" w:hAnsi="宋体" w:cs="宋体"/>
                <w:sz w:val="18"/>
                <w:szCs w:val="18"/>
              </w:rPr>
            </w:pPr>
            <w:r>
              <w:rPr>
                <w:rFonts w:ascii="宋体" w:eastAsia="宋体" w:hAnsi="宋体" w:cs="宋体"/>
                <w:sz w:val="18"/>
                <w:szCs w:val="18"/>
              </w:rPr>
              <w:t>3,000</w:t>
            </w: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至2022-10-28</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是</w:t>
            </w:r>
          </w:p>
        </w:tc>
      </w:tr>
      <w:tr w:rsidR="00BD65B6" w:rsidTr="00640995">
        <w:trPr>
          <w:trHeight w:val="240"/>
        </w:trPr>
        <w:tc>
          <w:tcPr>
            <w:tcW w:w="875" w:type="dxa"/>
            <w:vMerge/>
            <w:tcBorders>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6" w:type="dxa"/>
            <w:vMerge/>
            <w:tcBorders>
              <w:left w:val="single" w:sz="2" w:space="0" w:color="auto"/>
              <w:bottom w:val="single" w:sz="2" w:space="0" w:color="auto"/>
              <w:right w:val="single" w:sz="2" w:space="0" w:color="auto"/>
            </w:tcBorders>
            <w:vAlign w:val="center"/>
          </w:tcPr>
          <w:p w:rsidR="00BD65B6" w:rsidRDefault="00BD65B6">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2022年02月25日</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jc w:val="right"/>
              <w:rPr>
                <w:rFonts w:ascii="宋体" w:eastAsia="宋体" w:hAnsi="宋体" w:cs="宋体"/>
                <w:sz w:val="18"/>
                <w:szCs w:val="18"/>
              </w:rPr>
            </w:pPr>
            <w:r>
              <w:rPr>
                <w:rFonts w:ascii="宋体" w:eastAsia="宋体" w:hAnsi="宋体" w:cs="宋体"/>
                <w:sz w:val="18"/>
                <w:szCs w:val="18"/>
              </w:rPr>
              <w:t>4,000</w:t>
            </w: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至2022-08-25</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是</w:t>
            </w:r>
          </w:p>
        </w:tc>
      </w:tr>
      <w:tr w:rsidR="00BD65B6" w:rsidTr="00640995">
        <w:trPr>
          <w:trHeight w:val="240"/>
        </w:trPr>
        <w:tc>
          <w:tcPr>
            <w:tcW w:w="875" w:type="dxa"/>
            <w:vMerge w:val="restart"/>
            <w:tcBorders>
              <w:top w:val="single" w:sz="2" w:space="0" w:color="auto"/>
              <w:left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877" w:type="dxa"/>
            <w:vMerge w:val="restart"/>
            <w:tcBorders>
              <w:top w:val="single" w:sz="2" w:space="0" w:color="auto"/>
              <w:left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2021年04月30日</w:t>
            </w:r>
          </w:p>
        </w:tc>
        <w:tc>
          <w:tcPr>
            <w:tcW w:w="876" w:type="dxa"/>
            <w:vMerge w:val="restart"/>
            <w:tcBorders>
              <w:top w:val="single" w:sz="2" w:space="0" w:color="auto"/>
              <w:left w:val="single" w:sz="2" w:space="0" w:color="auto"/>
              <w:right w:val="single" w:sz="2" w:space="0" w:color="auto"/>
            </w:tcBorders>
            <w:vAlign w:val="center"/>
          </w:tcPr>
          <w:p w:rsidR="00BD65B6" w:rsidRDefault="00BD65B6">
            <w:pPr>
              <w:spacing w:line="240" w:lineRule="exact"/>
              <w:jc w:val="right"/>
              <w:rPr>
                <w:rFonts w:ascii="宋体" w:eastAsia="宋体" w:hAnsi="宋体" w:cs="宋体"/>
                <w:sz w:val="18"/>
                <w:szCs w:val="18"/>
              </w:rPr>
            </w:pPr>
            <w:r>
              <w:rPr>
                <w:rFonts w:ascii="宋体" w:eastAsia="宋体" w:hAnsi="宋体" w:cs="宋体"/>
                <w:sz w:val="18"/>
                <w:szCs w:val="18"/>
              </w:rPr>
              <w:t>3,110</w:t>
            </w: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2021年03月23日</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jc w:val="right"/>
              <w:rPr>
                <w:rFonts w:ascii="宋体" w:eastAsia="宋体" w:hAnsi="宋体" w:cs="宋体"/>
                <w:sz w:val="18"/>
                <w:szCs w:val="18"/>
              </w:rPr>
            </w:pPr>
            <w:r>
              <w:rPr>
                <w:rFonts w:ascii="宋体" w:eastAsia="宋体" w:hAnsi="宋体" w:cs="宋体"/>
                <w:sz w:val="18"/>
                <w:szCs w:val="18"/>
              </w:rPr>
              <w:t>3,110</w:t>
            </w: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至2022-03-22</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是</w:t>
            </w:r>
          </w:p>
        </w:tc>
      </w:tr>
      <w:tr w:rsidR="00BD65B6" w:rsidTr="00640995">
        <w:trPr>
          <w:trHeight w:val="240"/>
        </w:trPr>
        <w:tc>
          <w:tcPr>
            <w:tcW w:w="875" w:type="dxa"/>
            <w:vMerge/>
            <w:tcBorders>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6" w:type="dxa"/>
            <w:vMerge/>
            <w:tcBorders>
              <w:left w:val="single" w:sz="2" w:space="0" w:color="auto"/>
              <w:bottom w:val="single" w:sz="2" w:space="0" w:color="auto"/>
              <w:right w:val="single" w:sz="2" w:space="0" w:color="auto"/>
            </w:tcBorders>
            <w:vAlign w:val="center"/>
          </w:tcPr>
          <w:p w:rsidR="00BD65B6" w:rsidRDefault="00BD65B6">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2022年03月22日</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jc w:val="right"/>
              <w:rPr>
                <w:rFonts w:ascii="宋体" w:eastAsia="宋体" w:hAnsi="宋体" w:cs="宋体"/>
                <w:sz w:val="18"/>
                <w:szCs w:val="18"/>
              </w:rPr>
            </w:pPr>
            <w:r>
              <w:rPr>
                <w:rFonts w:ascii="宋体" w:eastAsia="宋体" w:hAnsi="宋体" w:cs="宋体"/>
                <w:sz w:val="18"/>
                <w:szCs w:val="18"/>
              </w:rPr>
              <w:t>3,110</w:t>
            </w: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至2023-03-21</w:t>
            </w:r>
          </w:p>
        </w:tc>
        <w:tc>
          <w:tcPr>
            <w:tcW w:w="876"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BD65B6" w:rsidRDefault="00BD65B6">
            <w:pPr>
              <w:spacing w:line="240" w:lineRule="exact"/>
              <w:rPr>
                <w:rFonts w:ascii="宋体" w:eastAsia="宋体" w:hAnsi="宋体" w:cs="宋体"/>
                <w:sz w:val="18"/>
                <w:szCs w:val="18"/>
              </w:rPr>
            </w:pPr>
            <w:r>
              <w:rPr>
                <w:rFonts w:ascii="宋体" w:eastAsia="宋体" w:hAnsi="宋体" w:cs="宋体"/>
                <w:sz w:val="18"/>
                <w:szCs w:val="18"/>
              </w:rPr>
              <w:t>是</w:t>
            </w:r>
          </w:p>
        </w:tc>
      </w:tr>
      <w:tr w:rsidR="00CB17F6" w:rsidTr="00640995">
        <w:trPr>
          <w:trHeight w:val="240"/>
        </w:trPr>
        <w:tc>
          <w:tcPr>
            <w:tcW w:w="875" w:type="dxa"/>
            <w:vMerge w:val="restart"/>
            <w:tcBorders>
              <w:top w:val="single" w:sz="2" w:space="0" w:color="auto"/>
              <w:left w:val="single" w:sz="2" w:space="0" w:color="auto"/>
              <w:right w:val="single" w:sz="2" w:space="0" w:color="auto"/>
            </w:tcBorders>
            <w:vAlign w:val="center"/>
          </w:tcPr>
          <w:p w:rsidR="00CB17F6" w:rsidRDefault="00CB17F6">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877" w:type="dxa"/>
            <w:vMerge w:val="restart"/>
            <w:tcBorders>
              <w:top w:val="single" w:sz="2" w:space="0" w:color="auto"/>
              <w:left w:val="single" w:sz="2" w:space="0" w:color="auto"/>
              <w:right w:val="single" w:sz="2" w:space="0" w:color="auto"/>
            </w:tcBorders>
            <w:vAlign w:val="center"/>
          </w:tcPr>
          <w:p w:rsidR="00CB17F6" w:rsidRDefault="00CB17F6">
            <w:pPr>
              <w:spacing w:line="240" w:lineRule="exact"/>
              <w:rPr>
                <w:rFonts w:ascii="宋体" w:eastAsia="宋体" w:hAnsi="宋体" w:cs="宋体"/>
                <w:sz w:val="18"/>
                <w:szCs w:val="18"/>
              </w:rPr>
            </w:pPr>
            <w:r>
              <w:rPr>
                <w:rFonts w:ascii="宋体" w:eastAsia="宋体" w:hAnsi="宋体" w:cs="宋体"/>
                <w:sz w:val="18"/>
                <w:szCs w:val="18"/>
              </w:rPr>
              <w:t>2021年04月30日</w:t>
            </w:r>
          </w:p>
        </w:tc>
        <w:tc>
          <w:tcPr>
            <w:tcW w:w="876" w:type="dxa"/>
            <w:vMerge w:val="restart"/>
            <w:tcBorders>
              <w:top w:val="single" w:sz="2" w:space="0" w:color="auto"/>
              <w:left w:val="single" w:sz="2" w:space="0" w:color="auto"/>
              <w:right w:val="single" w:sz="2" w:space="0" w:color="auto"/>
            </w:tcBorders>
            <w:vAlign w:val="center"/>
          </w:tcPr>
          <w:p w:rsidR="00CB17F6" w:rsidRDefault="00CB17F6">
            <w:pPr>
              <w:spacing w:line="240" w:lineRule="exact"/>
              <w:jc w:val="right"/>
              <w:rPr>
                <w:rFonts w:ascii="宋体" w:eastAsia="宋体" w:hAnsi="宋体" w:cs="宋体"/>
                <w:sz w:val="18"/>
                <w:szCs w:val="18"/>
              </w:rPr>
            </w:pPr>
            <w:r>
              <w:rPr>
                <w:rFonts w:ascii="宋体" w:eastAsia="宋体" w:hAnsi="宋体" w:cs="宋体"/>
                <w:sz w:val="18"/>
                <w:szCs w:val="18"/>
              </w:rPr>
              <w:t>6,000</w:t>
            </w:r>
          </w:p>
        </w:tc>
        <w:tc>
          <w:tcPr>
            <w:tcW w:w="877" w:type="dxa"/>
            <w:tcBorders>
              <w:top w:val="single" w:sz="2" w:space="0" w:color="auto"/>
              <w:left w:val="single" w:sz="2" w:space="0" w:color="auto"/>
              <w:bottom w:val="single" w:sz="2" w:space="0" w:color="auto"/>
              <w:right w:val="single" w:sz="2" w:space="0" w:color="auto"/>
            </w:tcBorders>
            <w:vAlign w:val="center"/>
          </w:tcPr>
          <w:p w:rsidR="00CB17F6" w:rsidRDefault="00CB17F6">
            <w:pPr>
              <w:spacing w:line="240" w:lineRule="exact"/>
              <w:rPr>
                <w:rFonts w:ascii="宋体" w:eastAsia="宋体" w:hAnsi="宋体" w:cs="宋体"/>
                <w:sz w:val="18"/>
                <w:szCs w:val="18"/>
              </w:rPr>
            </w:pPr>
            <w:r>
              <w:rPr>
                <w:rFonts w:ascii="宋体" w:eastAsia="宋体" w:hAnsi="宋体" w:cs="宋体"/>
                <w:sz w:val="18"/>
                <w:szCs w:val="18"/>
              </w:rPr>
              <w:t>2021年11月11日</w:t>
            </w:r>
          </w:p>
        </w:tc>
        <w:tc>
          <w:tcPr>
            <w:tcW w:w="876" w:type="dxa"/>
            <w:tcBorders>
              <w:top w:val="single" w:sz="2" w:space="0" w:color="auto"/>
              <w:left w:val="single" w:sz="2" w:space="0" w:color="auto"/>
              <w:bottom w:val="single" w:sz="2" w:space="0" w:color="auto"/>
              <w:right w:val="single" w:sz="2" w:space="0" w:color="auto"/>
            </w:tcBorders>
            <w:vAlign w:val="center"/>
          </w:tcPr>
          <w:p w:rsidR="00CB17F6" w:rsidRDefault="00CB17F6">
            <w:pPr>
              <w:spacing w:line="240" w:lineRule="exact"/>
              <w:jc w:val="right"/>
              <w:rPr>
                <w:rFonts w:ascii="宋体" w:eastAsia="宋体" w:hAnsi="宋体" w:cs="宋体"/>
                <w:sz w:val="18"/>
                <w:szCs w:val="18"/>
              </w:rPr>
            </w:pPr>
            <w:r>
              <w:rPr>
                <w:rFonts w:ascii="宋体" w:eastAsia="宋体" w:hAnsi="宋体" w:cs="宋体"/>
                <w:sz w:val="18"/>
                <w:szCs w:val="18"/>
              </w:rPr>
              <w:t>3,000</w:t>
            </w:r>
          </w:p>
        </w:tc>
        <w:tc>
          <w:tcPr>
            <w:tcW w:w="877" w:type="dxa"/>
            <w:tcBorders>
              <w:top w:val="single" w:sz="2" w:space="0" w:color="auto"/>
              <w:left w:val="single" w:sz="2" w:space="0" w:color="auto"/>
              <w:bottom w:val="single" w:sz="2" w:space="0" w:color="auto"/>
              <w:right w:val="single" w:sz="2" w:space="0" w:color="auto"/>
            </w:tcBorders>
            <w:vAlign w:val="center"/>
          </w:tcPr>
          <w:p w:rsidR="00CB17F6" w:rsidRDefault="00CB17F6">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CB17F6" w:rsidRDefault="00CB17F6">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CB17F6" w:rsidRDefault="00CB17F6">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CB17F6" w:rsidRDefault="00CB17F6">
            <w:pPr>
              <w:spacing w:line="240" w:lineRule="exact"/>
              <w:rPr>
                <w:rFonts w:ascii="宋体" w:eastAsia="宋体" w:hAnsi="宋体" w:cs="宋体"/>
                <w:sz w:val="18"/>
                <w:szCs w:val="18"/>
              </w:rPr>
            </w:pPr>
            <w:r>
              <w:rPr>
                <w:rFonts w:ascii="宋体" w:eastAsia="宋体" w:hAnsi="宋体" w:cs="宋体"/>
                <w:sz w:val="18"/>
                <w:szCs w:val="18"/>
              </w:rPr>
              <w:t>至2022-11-10</w:t>
            </w:r>
          </w:p>
        </w:tc>
        <w:tc>
          <w:tcPr>
            <w:tcW w:w="876" w:type="dxa"/>
            <w:tcBorders>
              <w:top w:val="single" w:sz="2" w:space="0" w:color="auto"/>
              <w:left w:val="single" w:sz="2" w:space="0" w:color="auto"/>
              <w:bottom w:val="single" w:sz="2" w:space="0" w:color="auto"/>
              <w:right w:val="single" w:sz="2" w:space="0" w:color="auto"/>
            </w:tcBorders>
            <w:vAlign w:val="center"/>
          </w:tcPr>
          <w:p w:rsidR="00CB17F6" w:rsidRDefault="00CB17F6">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CB17F6" w:rsidRDefault="00CB17F6">
            <w:pPr>
              <w:spacing w:line="240" w:lineRule="exact"/>
              <w:rPr>
                <w:rFonts w:ascii="宋体" w:eastAsia="宋体" w:hAnsi="宋体" w:cs="宋体"/>
                <w:sz w:val="18"/>
                <w:szCs w:val="18"/>
              </w:rPr>
            </w:pPr>
            <w:r>
              <w:rPr>
                <w:rFonts w:ascii="宋体" w:eastAsia="宋体" w:hAnsi="宋体" w:cs="宋体"/>
                <w:sz w:val="18"/>
                <w:szCs w:val="18"/>
              </w:rPr>
              <w:t>是</w:t>
            </w:r>
          </w:p>
        </w:tc>
      </w:tr>
      <w:tr w:rsidR="00CB17F6" w:rsidTr="00640995">
        <w:trPr>
          <w:trHeight w:val="240"/>
        </w:trPr>
        <w:tc>
          <w:tcPr>
            <w:tcW w:w="875" w:type="dxa"/>
            <w:vMerge/>
            <w:tcBorders>
              <w:left w:val="single" w:sz="2" w:space="0" w:color="auto"/>
              <w:bottom w:val="single" w:sz="2" w:space="0" w:color="auto"/>
              <w:right w:val="single" w:sz="2" w:space="0" w:color="auto"/>
            </w:tcBorders>
            <w:vAlign w:val="center"/>
          </w:tcPr>
          <w:p w:rsidR="00CB17F6" w:rsidRDefault="00CB17F6">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CB17F6" w:rsidRDefault="00CB17F6">
            <w:pPr>
              <w:spacing w:line="240" w:lineRule="exact"/>
              <w:rPr>
                <w:rFonts w:ascii="宋体" w:eastAsia="宋体" w:hAnsi="宋体" w:cs="宋体"/>
                <w:sz w:val="18"/>
                <w:szCs w:val="18"/>
              </w:rPr>
            </w:pPr>
          </w:p>
        </w:tc>
        <w:tc>
          <w:tcPr>
            <w:tcW w:w="876" w:type="dxa"/>
            <w:vMerge/>
            <w:tcBorders>
              <w:left w:val="single" w:sz="2" w:space="0" w:color="auto"/>
              <w:bottom w:val="single" w:sz="2" w:space="0" w:color="auto"/>
              <w:right w:val="single" w:sz="2" w:space="0" w:color="auto"/>
            </w:tcBorders>
            <w:vAlign w:val="center"/>
          </w:tcPr>
          <w:p w:rsidR="00CB17F6" w:rsidRDefault="00CB17F6">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CB17F6" w:rsidRDefault="00CB17F6">
            <w:pPr>
              <w:spacing w:line="240" w:lineRule="exact"/>
              <w:rPr>
                <w:rFonts w:ascii="宋体" w:eastAsia="宋体" w:hAnsi="宋体" w:cs="宋体"/>
                <w:sz w:val="18"/>
                <w:szCs w:val="18"/>
              </w:rPr>
            </w:pPr>
            <w:r>
              <w:rPr>
                <w:rFonts w:ascii="宋体" w:eastAsia="宋体" w:hAnsi="宋体" w:cs="宋体"/>
                <w:sz w:val="18"/>
                <w:szCs w:val="18"/>
              </w:rPr>
              <w:t>2021年12月02日</w:t>
            </w:r>
          </w:p>
        </w:tc>
        <w:tc>
          <w:tcPr>
            <w:tcW w:w="876" w:type="dxa"/>
            <w:tcBorders>
              <w:top w:val="single" w:sz="2" w:space="0" w:color="auto"/>
              <w:left w:val="single" w:sz="2" w:space="0" w:color="auto"/>
              <w:bottom w:val="single" w:sz="2" w:space="0" w:color="auto"/>
              <w:right w:val="single" w:sz="2" w:space="0" w:color="auto"/>
            </w:tcBorders>
            <w:vAlign w:val="center"/>
          </w:tcPr>
          <w:p w:rsidR="00CB17F6" w:rsidRDefault="00CB17F6">
            <w:pPr>
              <w:spacing w:line="240" w:lineRule="exact"/>
              <w:jc w:val="right"/>
              <w:rPr>
                <w:rFonts w:ascii="宋体" w:eastAsia="宋体" w:hAnsi="宋体" w:cs="宋体"/>
                <w:sz w:val="18"/>
                <w:szCs w:val="18"/>
              </w:rPr>
            </w:pPr>
            <w:r>
              <w:rPr>
                <w:rFonts w:ascii="宋体" w:eastAsia="宋体" w:hAnsi="宋体" w:cs="宋体"/>
                <w:sz w:val="18"/>
                <w:szCs w:val="18"/>
              </w:rPr>
              <w:t>2,000</w:t>
            </w:r>
          </w:p>
        </w:tc>
        <w:tc>
          <w:tcPr>
            <w:tcW w:w="877" w:type="dxa"/>
            <w:tcBorders>
              <w:top w:val="single" w:sz="2" w:space="0" w:color="auto"/>
              <w:left w:val="single" w:sz="2" w:space="0" w:color="auto"/>
              <w:bottom w:val="single" w:sz="2" w:space="0" w:color="auto"/>
              <w:right w:val="single" w:sz="2" w:space="0" w:color="auto"/>
            </w:tcBorders>
            <w:vAlign w:val="center"/>
          </w:tcPr>
          <w:p w:rsidR="00CB17F6" w:rsidRDefault="00CB17F6">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CB17F6" w:rsidRDefault="00CB17F6">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CB17F6" w:rsidRDefault="00CB17F6">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CB17F6" w:rsidRDefault="00CB17F6">
            <w:pPr>
              <w:spacing w:line="240" w:lineRule="exact"/>
              <w:rPr>
                <w:rFonts w:ascii="宋体" w:eastAsia="宋体" w:hAnsi="宋体" w:cs="宋体"/>
                <w:sz w:val="18"/>
                <w:szCs w:val="18"/>
              </w:rPr>
            </w:pPr>
            <w:r>
              <w:rPr>
                <w:rFonts w:ascii="宋体" w:eastAsia="宋体" w:hAnsi="宋体" w:cs="宋体"/>
                <w:sz w:val="18"/>
                <w:szCs w:val="18"/>
              </w:rPr>
              <w:t>至2022-12-01</w:t>
            </w:r>
          </w:p>
        </w:tc>
        <w:tc>
          <w:tcPr>
            <w:tcW w:w="876" w:type="dxa"/>
            <w:tcBorders>
              <w:top w:val="single" w:sz="2" w:space="0" w:color="auto"/>
              <w:left w:val="single" w:sz="2" w:space="0" w:color="auto"/>
              <w:bottom w:val="single" w:sz="2" w:space="0" w:color="auto"/>
              <w:right w:val="single" w:sz="2" w:space="0" w:color="auto"/>
            </w:tcBorders>
            <w:vAlign w:val="center"/>
          </w:tcPr>
          <w:p w:rsidR="00CB17F6" w:rsidRDefault="00CB17F6">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CB17F6" w:rsidRDefault="00CB17F6">
            <w:pPr>
              <w:spacing w:line="240" w:lineRule="exact"/>
              <w:rPr>
                <w:rFonts w:ascii="宋体" w:eastAsia="宋体" w:hAnsi="宋体" w:cs="宋体"/>
                <w:sz w:val="18"/>
                <w:szCs w:val="18"/>
              </w:rPr>
            </w:pPr>
            <w:r>
              <w:rPr>
                <w:rFonts w:ascii="宋体" w:eastAsia="宋体" w:hAnsi="宋体" w:cs="宋体"/>
                <w:sz w:val="18"/>
                <w:szCs w:val="18"/>
              </w:rPr>
              <w:t>是</w:t>
            </w:r>
          </w:p>
        </w:tc>
      </w:tr>
      <w:tr w:rsidR="00CB17F6" w:rsidTr="00640995">
        <w:trPr>
          <w:trHeight w:val="240"/>
        </w:trPr>
        <w:tc>
          <w:tcPr>
            <w:tcW w:w="875" w:type="dxa"/>
            <w:vMerge w:val="restart"/>
            <w:tcBorders>
              <w:top w:val="single" w:sz="2" w:space="0" w:color="auto"/>
              <w:left w:val="single" w:sz="2" w:space="0" w:color="auto"/>
              <w:right w:val="single" w:sz="2" w:space="0" w:color="auto"/>
            </w:tcBorders>
            <w:vAlign w:val="center"/>
          </w:tcPr>
          <w:p w:rsidR="00CB17F6" w:rsidRDefault="00CB17F6">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877" w:type="dxa"/>
            <w:vMerge w:val="restart"/>
            <w:tcBorders>
              <w:top w:val="single" w:sz="2" w:space="0" w:color="auto"/>
              <w:left w:val="single" w:sz="2" w:space="0" w:color="auto"/>
              <w:right w:val="single" w:sz="2" w:space="0" w:color="auto"/>
            </w:tcBorders>
            <w:vAlign w:val="center"/>
          </w:tcPr>
          <w:p w:rsidR="00CB17F6" w:rsidRDefault="00CB17F6">
            <w:pPr>
              <w:spacing w:line="240" w:lineRule="exact"/>
              <w:rPr>
                <w:rFonts w:ascii="宋体" w:eastAsia="宋体" w:hAnsi="宋体" w:cs="宋体"/>
                <w:sz w:val="18"/>
                <w:szCs w:val="18"/>
              </w:rPr>
            </w:pPr>
            <w:r>
              <w:rPr>
                <w:rFonts w:ascii="宋体" w:eastAsia="宋体" w:hAnsi="宋体" w:cs="宋体"/>
                <w:sz w:val="18"/>
                <w:szCs w:val="18"/>
              </w:rPr>
              <w:t>2021年04月30日</w:t>
            </w:r>
          </w:p>
        </w:tc>
        <w:tc>
          <w:tcPr>
            <w:tcW w:w="876" w:type="dxa"/>
            <w:vMerge w:val="restart"/>
            <w:tcBorders>
              <w:top w:val="single" w:sz="2" w:space="0" w:color="auto"/>
              <w:left w:val="single" w:sz="2" w:space="0" w:color="auto"/>
              <w:right w:val="single" w:sz="2" w:space="0" w:color="auto"/>
            </w:tcBorders>
            <w:vAlign w:val="center"/>
          </w:tcPr>
          <w:p w:rsidR="00CB17F6" w:rsidRDefault="00CB17F6">
            <w:pPr>
              <w:spacing w:line="240" w:lineRule="exact"/>
              <w:jc w:val="right"/>
              <w:rPr>
                <w:rFonts w:ascii="宋体" w:eastAsia="宋体" w:hAnsi="宋体" w:cs="宋体"/>
                <w:sz w:val="18"/>
                <w:szCs w:val="18"/>
              </w:rPr>
            </w:pPr>
            <w:r>
              <w:rPr>
                <w:rFonts w:ascii="宋体" w:eastAsia="宋体" w:hAnsi="宋体" w:cs="宋体"/>
                <w:sz w:val="18"/>
                <w:szCs w:val="18"/>
              </w:rPr>
              <w:t>6,500</w:t>
            </w:r>
          </w:p>
        </w:tc>
        <w:tc>
          <w:tcPr>
            <w:tcW w:w="877" w:type="dxa"/>
            <w:tcBorders>
              <w:top w:val="single" w:sz="2" w:space="0" w:color="auto"/>
              <w:left w:val="single" w:sz="2" w:space="0" w:color="auto"/>
              <w:bottom w:val="single" w:sz="2" w:space="0" w:color="auto"/>
              <w:right w:val="single" w:sz="2" w:space="0" w:color="auto"/>
            </w:tcBorders>
            <w:vAlign w:val="center"/>
          </w:tcPr>
          <w:p w:rsidR="00CB17F6" w:rsidRDefault="00CB17F6">
            <w:pPr>
              <w:spacing w:line="240" w:lineRule="exact"/>
              <w:rPr>
                <w:rFonts w:ascii="宋体" w:eastAsia="宋体" w:hAnsi="宋体" w:cs="宋体"/>
                <w:sz w:val="18"/>
                <w:szCs w:val="18"/>
              </w:rPr>
            </w:pPr>
            <w:r>
              <w:rPr>
                <w:rFonts w:ascii="宋体" w:eastAsia="宋体" w:hAnsi="宋体" w:cs="宋体"/>
                <w:sz w:val="18"/>
                <w:szCs w:val="18"/>
              </w:rPr>
              <w:t>2021年07月30日</w:t>
            </w:r>
          </w:p>
        </w:tc>
        <w:tc>
          <w:tcPr>
            <w:tcW w:w="876" w:type="dxa"/>
            <w:tcBorders>
              <w:top w:val="single" w:sz="2" w:space="0" w:color="auto"/>
              <w:left w:val="single" w:sz="2" w:space="0" w:color="auto"/>
              <w:bottom w:val="single" w:sz="2" w:space="0" w:color="auto"/>
              <w:right w:val="single" w:sz="2" w:space="0" w:color="auto"/>
            </w:tcBorders>
            <w:vAlign w:val="center"/>
          </w:tcPr>
          <w:p w:rsidR="00CB17F6" w:rsidRDefault="00CB17F6">
            <w:pPr>
              <w:spacing w:line="240" w:lineRule="exact"/>
              <w:jc w:val="right"/>
              <w:rPr>
                <w:rFonts w:ascii="宋体" w:eastAsia="宋体" w:hAnsi="宋体" w:cs="宋体"/>
                <w:sz w:val="18"/>
                <w:szCs w:val="18"/>
              </w:rPr>
            </w:pPr>
            <w:r>
              <w:rPr>
                <w:rFonts w:ascii="宋体" w:eastAsia="宋体" w:hAnsi="宋体" w:cs="宋体"/>
                <w:sz w:val="18"/>
                <w:szCs w:val="18"/>
              </w:rPr>
              <w:t>6,500</w:t>
            </w:r>
          </w:p>
        </w:tc>
        <w:tc>
          <w:tcPr>
            <w:tcW w:w="877" w:type="dxa"/>
            <w:tcBorders>
              <w:top w:val="single" w:sz="2" w:space="0" w:color="auto"/>
              <w:left w:val="single" w:sz="2" w:space="0" w:color="auto"/>
              <w:bottom w:val="single" w:sz="2" w:space="0" w:color="auto"/>
              <w:right w:val="single" w:sz="2" w:space="0" w:color="auto"/>
            </w:tcBorders>
            <w:vAlign w:val="center"/>
          </w:tcPr>
          <w:p w:rsidR="00CB17F6" w:rsidRDefault="00CB17F6">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CB17F6" w:rsidRDefault="00CB17F6">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CB17F6" w:rsidRDefault="00CB17F6">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CB17F6" w:rsidRDefault="00CB17F6">
            <w:pPr>
              <w:spacing w:line="240" w:lineRule="exact"/>
              <w:rPr>
                <w:rFonts w:ascii="宋体" w:eastAsia="宋体" w:hAnsi="宋体" w:cs="宋体"/>
                <w:sz w:val="18"/>
                <w:szCs w:val="18"/>
              </w:rPr>
            </w:pPr>
            <w:r>
              <w:rPr>
                <w:rFonts w:ascii="宋体" w:eastAsia="宋体" w:hAnsi="宋体" w:cs="宋体"/>
                <w:sz w:val="18"/>
                <w:szCs w:val="18"/>
              </w:rPr>
              <w:t>至2022-01-30</w:t>
            </w:r>
          </w:p>
        </w:tc>
        <w:tc>
          <w:tcPr>
            <w:tcW w:w="876" w:type="dxa"/>
            <w:tcBorders>
              <w:top w:val="single" w:sz="2" w:space="0" w:color="auto"/>
              <w:left w:val="single" w:sz="2" w:space="0" w:color="auto"/>
              <w:bottom w:val="single" w:sz="2" w:space="0" w:color="auto"/>
              <w:right w:val="single" w:sz="2" w:space="0" w:color="auto"/>
            </w:tcBorders>
            <w:vAlign w:val="center"/>
          </w:tcPr>
          <w:p w:rsidR="00CB17F6" w:rsidRDefault="00CB17F6">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CB17F6" w:rsidRDefault="00CB17F6">
            <w:pPr>
              <w:spacing w:line="240" w:lineRule="exact"/>
              <w:rPr>
                <w:rFonts w:ascii="宋体" w:eastAsia="宋体" w:hAnsi="宋体" w:cs="宋体"/>
                <w:sz w:val="18"/>
                <w:szCs w:val="18"/>
              </w:rPr>
            </w:pPr>
            <w:r>
              <w:rPr>
                <w:rFonts w:ascii="宋体" w:eastAsia="宋体" w:hAnsi="宋体" w:cs="宋体"/>
                <w:sz w:val="18"/>
                <w:szCs w:val="18"/>
              </w:rPr>
              <w:t>是</w:t>
            </w:r>
          </w:p>
        </w:tc>
      </w:tr>
      <w:tr w:rsidR="00CB17F6" w:rsidTr="00640995">
        <w:trPr>
          <w:trHeight w:val="240"/>
        </w:trPr>
        <w:tc>
          <w:tcPr>
            <w:tcW w:w="875" w:type="dxa"/>
            <w:vMerge/>
            <w:tcBorders>
              <w:left w:val="single" w:sz="2" w:space="0" w:color="auto"/>
              <w:bottom w:val="single" w:sz="2" w:space="0" w:color="auto"/>
              <w:right w:val="single" w:sz="2" w:space="0" w:color="auto"/>
            </w:tcBorders>
            <w:vAlign w:val="center"/>
          </w:tcPr>
          <w:p w:rsidR="00CB17F6" w:rsidRDefault="00CB17F6">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CB17F6" w:rsidRDefault="00CB17F6">
            <w:pPr>
              <w:spacing w:line="240" w:lineRule="exact"/>
              <w:rPr>
                <w:rFonts w:ascii="宋体" w:eastAsia="宋体" w:hAnsi="宋体" w:cs="宋体"/>
                <w:sz w:val="18"/>
                <w:szCs w:val="18"/>
              </w:rPr>
            </w:pPr>
          </w:p>
        </w:tc>
        <w:tc>
          <w:tcPr>
            <w:tcW w:w="876" w:type="dxa"/>
            <w:vMerge/>
            <w:tcBorders>
              <w:left w:val="single" w:sz="2" w:space="0" w:color="auto"/>
              <w:bottom w:val="single" w:sz="2" w:space="0" w:color="auto"/>
              <w:right w:val="single" w:sz="2" w:space="0" w:color="auto"/>
            </w:tcBorders>
            <w:vAlign w:val="center"/>
          </w:tcPr>
          <w:p w:rsidR="00CB17F6" w:rsidRDefault="00CB17F6">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CB17F6" w:rsidRDefault="00CB17F6">
            <w:pPr>
              <w:spacing w:line="240" w:lineRule="exact"/>
              <w:rPr>
                <w:rFonts w:ascii="宋体" w:eastAsia="宋体" w:hAnsi="宋体" w:cs="宋体"/>
                <w:sz w:val="18"/>
                <w:szCs w:val="18"/>
              </w:rPr>
            </w:pPr>
            <w:r>
              <w:rPr>
                <w:rFonts w:ascii="宋体" w:eastAsia="宋体" w:hAnsi="宋体" w:cs="宋体"/>
                <w:sz w:val="18"/>
                <w:szCs w:val="18"/>
              </w:rPr>
              <w:t>2022年01月28日</w:t>
            </w:r>
          </w:p>
        </w:tc>
        <w:tc>
          <w:tcPr>
            <w:tcW w:w="876" w:type="dxa"/>
            <w:tcBorders>
              <w:top w:val="single" w:sz="2" w:space="0" w:color="auto"/>
              <w:left w:val="single" w:sz="2" w:space="0" w:color="auto"/>
              <w:bottom w:val="single" w:sz="2" w:space="0" w:color="auto"/>
              <w:right w:val="single" w:sz="2" w:space="0" w:color="auto"/>
            </w:tcBorders>
            <w:vAlign w:val="center"/>
          </w:tcPr>
          <w:p w:rsidR="00CB17F6" w:rsidRDefault="00CB17F6">
            <w:pPr>
              <w:spacing w:line="240" w:lineRule="exact"/>
              <w:jc w:val="right"/>
              <w:rPr>
                <w:rFonts w:ascii="宋体" w:eastAsia="宋体" w:hAnsi="宋体" w:cs="宋体"/>
                <w:sz w:val="18"/>
                <w:szCs w:val="18"/>
              </w:rPr>
            </w:pPr>
            <w:r>
              <w:rPr>
                <w:rFonts w:ascii="宋体" w:eastAsia="宋体" w:hAnsi="宋体" w:cs="宋体"/>
                <w:sz w:val="18"/>
                <w:szCs w:val="18"/>
              </w:rPr>
              <w:t>6,500</w:t>
            </w:r>
          </w:p>
        </w:tc>
        <w:tc>
          <w:tcPr>
            <w:tcW w:w="877" w:type="dxa"/>
            <w:tcBorders>
              <w:top w:val="single" w:sz="2" w:space="0" w:color="auto"/>
              <w:left w:val="single" w:sz="2" w:space="0" w:color="auto"/>
              <w:bottom w:val="single" w:sz="2" w:space="0" w:color="auto"/>
              <w:right w:val="single" w:sz="2" w:space="0" w:color="auto"/>
            </w:tcBorders>
            <w:vAlign w:val="center"/>
          </w:tcPr>
          <w:p w:rsidR="00CB17F6" w:rsidRDefault="00CB17F6">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CB17F6" w:rsidRDefault="00CB17F6">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CB17F6" w:rsidRDefault="00CB17F6">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CB17F6" w:rsidRDefault="00CB17F6">
            <w:pPr>
              <w:spacing w:line="240" w:lineRule="exact"/>
              <w:rPr>
                <w:rFonts w:ascii="宋体" w:eastAsia="宋体" w:hAnsi="宋体" w:cs="宋体"/>
                <w:sz w:val="18"/>
                <w:szCs w:val="18"/>
              </w:rPr>
            </w:pPr>
            <w:r>
              <w:rPr>
                <w:rFonts w:ascii="宋体" w:eastAsia="宋体" w:hAnsi="宋体" w:cs="宋体"/>
                <w:sz w:val="18"/>
                <w:szCs w:val="18"/>
              </w:rPr>
              <w:t>至2022-07-22</w:t>
            </w:r>
          </w:p>
        </w:tc>
        <w:tc>
          <w:tcPr>
            <w:tcW w:w="876" w:type="dxa"/>
            <w:tcBorders>
              <w:top w:val="single" w:sz="2" w:space="0" w:color="auto"/>
              <w:left w:val="single" w:sz="2" w:space="0" w:color="auto"/>
              <w:bottom w:val="single" w:sz="2" w:space="0" w:color="auto"/>
              <w:right w:val="single" w:sz="2" w:space="0" w:color="auto"/>
            </w:tcBorders>
            <w:vAlign w:val="center"/>
          </w:tcPr>
          <w:p w:rsidR="00CB17F6" w:rsidRDefault="00CB17F6">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CB17F6" w:rsidRDefault="00CB17F6">
            <w:pPr>
              <w:spacing w:line="240" w:lineRule="exact"/>
              <w:rPr>
                <w:rFonts w:ascii="宋体" w:eastAsia="宋体" w:hAnsi="宋体" w:cs="宋体"/>
                <w:sz w:val="18"/>
                <w:szCs w:val="18"/>
              </w:rPr>
            </w:pPr>
            <w:r>
              <w:rPr>
                <w:rFonts w:ascii="宋体" w:eastAsia="宋体" w:hAnsi="宋体" w:cs="宋体"/>
                <w:sz w:val="18"/>
                <w:szCs w:val="18"/>
              </w:rPr>
              <w:t>是</w:t>
            </w:r>
          </w:p>
        </w:tc>
      </w:tr>
      <w:tr w:rsidR="00F068AD" w:rsidTr="00BD65B6">
        <w:trPr>
          <w:trHeight w:val="240"/>
        </w:trPr>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报告期内审批的对外担保额度合计（A1）</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130,000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报告期内对外担保实际发生额合计（A2）</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100,220</w:t>
            </w:r>
          </w:p>
        </w:tc>
      </w:tr>
      <w:tr w:rsidR="00F068AD" w:rsidTr="00BD65B6">
        <w:trPr>
          <w:trHeight w:val="240"/>
        </w:trPr>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报告期末已审批的对外担保额度合计（A3）</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130,000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报告期末实际对外担保余额合计（A4）</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86,610</w:t>
            </w:r>
          </w:p>
        </w:tc>
      </w:tr>
      <w:tr w:rsidR="00F068AD">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公司对子公司的担保情况</w:t>
            </w:r>
          </w:p>
        </w:tc>
      </w:tr>
      <w:tr w:rsidR="00F068AD" w:rsidTr="00BD65B6">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担保对象名称</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担保额度相关公告披露日期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实际发生日期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实际担保金额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担保类型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担保物（如有）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反担保情况（如有）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担保期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是否履行完毕</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是否为关联方担保</w:t>
            </w:r>
          </w:p>
        </w:tc>
      </w:tr>
      <w:tr w:rsidR="00F068AD">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子公司对子公司的担保情况</w:t>
            </w:r>
          </w:p>
        </w:tc>
      </w:tr>
      <w:tr w:rsidR="00F068AD" w:rsidTr="00BD65B6">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担保对象名称</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担保额度相关公告披露日期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实际发生日期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实际担保金额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担保类型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担保物（如有）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反担保情况（如有）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担保期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是否履行完毕</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是否为关联方担保</w:t>
            </w:r>
          </w:p>
        </w:tc>
      </w:tr>
      <w:tr w:rsidR="00F068AD">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公司担保总额（即前三大项的合计）</w:t>
            </w:r>
          </w:p>
        </w:tc>
      </w:tr>
      <w:tr w:rsidR="00F068AD" w:rsidTr="00BD65B6">
        <w:trPr>
          <w:trHeight w:val="240"/>
        </w:trPr>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报告期内审批担保额度合计（A1+B1+C1）</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130,000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报告期内担保实际发生额合计（A2+B2+C2）</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100,220</w:t>
            </w:r>
          </w:p>
        </w:tc>
      </w:tr>
      <w:tr w:rsidR="00F068AD" w:rsidTr="00BD65B6">
        <w:trPr>
          <w:trHeight w:val="240"/>
        </w:trPr>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报告期末已审批的担保额度合计（A3+B3+C3）</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130,000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报告期末实际担保余额合计（A4+B4+C4）</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86,610</w:t>
            </w:r>
          </w:p>
        </w:tc>
      </w:tr>
      <w:tr w:rsidR="00F068AD">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实际担保总额（即A4+B4+C4）占公司净资产的比例</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17.07%</w:t>
            </w:r>
          </w:p>
        </w:tc>
      </w:tr>
      <w:tr w:rsidR="00F068AD">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其中：</w:t>
            </w:r>
          </w:p>
        </w:tc>
      </w:tr>
      <w:tr w:rsidR="00F068AD">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为股东、实际控制人及其关联方提供担保的余额（D）</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86,610</w:t>
            </w:r>
          </w:p>
        </w:tc>
      </w:tr>
      <w:tr w:rsidR="00F068AD">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直接或间接为资产负债率超过70%的被担保对象提供的债务担保余额（E）</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F068AD">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担保总额超过净资产50%部分的金额（F）</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F068AD">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上述三项担保金额合计（D+E+F）</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86,610</w:t>
            </w:r>
          </w:p>
        </w:tc>
      </w:tr>
      <w:tr w:rsidR="00F068AD">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对未到期担保合同，报告期内发生担保责任或有证据表明有可能承担连带清偿责任的情况说明（如有）</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无</w:t>
            </w:r>
          </w:p>
        </w:tc>
      </w:tr>
      <w:tr w:rsidR="00F068AD">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违反规定程序对外提供担保的说明（如有）</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无</w:t>
            </w:r>
          </w:p>
        </w:tc>
      </w:tr>
    </w:tbl>
    <w:p w:rsidR="00F068AD" w:rsidRDefault="00CB17F6">
      <w:pPr>
        <w:spacing w:before="100" w:after="100" w:line="240" w:lineRule="exact"/>
        <w:rPr>
          <w:rFonts w:ascii="宋体" w:eastAsia="宋体" w:hAnsi="宋体" w:cs="宋体"/>
          <w:sz w:val="18"/>
          <w:szCs w:val="18"/>
        </w:rPr>
      </w:pPr>
      <w:r>
        <w:rPr>
          <w:rFonts w:ascii="宋体" w:eastAsia="宋体" w:hAnsi="宋体" w:cs="宋体"/>
          <w:sz w:val="18"/>
          <w:szCs w:val="18"/>
        </w:rPr>
        <w:t>注：该项实际担保总额为</w:t>
      </w:r>
      <w:r>
        <w:rPr>
          <w:rFonts w:ascii="宋体" w:eastAsia="宋体" w:hAnsi="宋体" w:cs="宋体" w:hint="eastAsia"/>
          <w:sz w:val="18"/>
          <w:szCs w:val="18"/>
        </w:rPr>
        <w:t>45,000万元。</w:t>
      </w:r>
    </w:p>
    <w:p w:rsidR="00F068AD" w:rsidRDefault="00CB63CD">
      <w:pPr>
        <w:pStyle w:val="3"/>
        <w:spacing w:line="280" w:lineRule="exact"/>
        <w:jc w:val="left"/>
        <w:rPr>
          <w:rFonts w:ascii="宋体" w:hAnsi="宋体" w:cs="宋体"/>
          <w:b/>
          <w:bCs/>
        </w:rPr>
      </w:pPr>
      <w:bookmarkStart w:id="72" w:name="_Toc988961"/>
      <w:r>
        <w:rPr>
          <w:rFonts w:ascii="宋体" w:hAnsi="宋体" w:cs="宋体"/>
          <w:b/>
          <w:bCs/>
        </w:rPr>
        <w:t>3、委托理财</w:t>
      </w:r>
      <w:bookmarkEnd w:id="72"/>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F068AD" w:rsidRDefault="00CB63CD">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7"/>
        <w:gridCol w:w="1608"/>
        <w:gridCol w:w="1606"/>
        <w:gridCol w:w="1606"/>
        <w:gridCol w:w="1606"/>
        <w:gridCol w:w="1606"/>
      </w:tblGrid>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具体类型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委托理财的资金来源</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委托理财发生额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未到期余额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逾期未收回的金额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逾期未收回理财已计提减值金额</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银行理财产品</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自有资金</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14,927.37</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其他类</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自有资金</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15,204.8</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91.33</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F068AD">
        <w:trPr>
          <w:trHeight w:val="240"/>
        </w:trPr>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30,132.17</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91.33</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w:t>
            </w:r>
          </w:p>
        </w:tc>
      </w:tr>
    </w:tbl>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单项金额重大或安全性较低、流动性较差、不保本的高风险委托理财具体情况</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委托理财出现预期无法收回本金或存在其他可能导致减值的情形</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pStyle w:val="3"/>
        <w:spacing w:line="280" w:lineRule="exact"/>
        <w:jc w:val="left"/>
        <w:rPr>
          <w:rFonts w:ascii="宋体" w:hAnsi="宋体" w:cs="宋体"/>
          <w:b/>
          <w:bCs/>
        </w:rPr>
      </w:pPr>
      <w:bookmarkStart w:id="73" w:name="_Toc988962"/>
      <w:r>
        <w:rPr>
          <w:rFonts w:ascii="宋体" w:hAnsi="宋体" w:cs="宋体"/>
          <w:b/>
          <w:bCs/>
        </w:rPr>
        <w:lastRenderedPageBreak/>
        <w:t>4、其他重大合同</w:t>
      </w:r>
      <w:bookmarkEnd w:id="73"/>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公司报告期不存在其他重大合同。</w:t>
      </w:r>
    </w:p>
    <w:p w:rsidR="00F068AD" w:rsidRDefault="00CB63CD">
      <w:pPr>
        <w:pStyle w:val="2"/>
        <w:spacing w:before="300" w:after="300" w:line="320" w:lineRule="exact"/>
        <w:rPr>
          <w:rFonts w:ascii="宋体" w:eastAsia="宋体" w:hAnsi="宋体" w:cs="宋体"/>
          <w:b/>
          <w:bCs/>
          <w:sz w:val="24"/>
          <w:szCs w:val="24"/>
        </w:rPr>
      </w:pPr>
      <w:bookmarkStart w:id="74" w:name="_Toc988963"/>
      <w:r>
        <w:rPr>
          <w:rFonts w:ascii="宋体" w:eastAsia="宋体" w:hAnsi="宋体" w:cs="宋体"/>
          <w:b/>
          <w:bCs/>
          <w:sz w:val="24"/>
          <w:szCs w:val="24"/>
        </w:rPr>
        <w:t>十三、其他重大事项的说明</w:t>
      </w:r>
      <w:bookmarkEnd w:id="74"/>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CB63CD" w:rsidRDefault="00CB63CD">
      <w:pPr>
        <w:pStyle w:val="a3"/>
        <w:divId w:val="463667906"/>
        <w:rPr>
          <w:sz w:val="18"/>
          <w:szCs w:val="18"/>
        </w:rPr>
      </w:pPr>
      <w:r>
        <w:rPr>
          <w:rFonts w:hint="eastAsia"/>
          <w:sz w:val="18"/>
          <w:szCs w:val="18"/>
        </w:rPr>
        <w:t>1、修订《公司章程》事项</w:t>
      </w:r>
    </w:p>
    <w:p w:rsidR="00CB63CD" w:rsidRDefault="00CB63CD">
      <w:pPr>
        <w:pStyle w:val="a3"/>
        <w:divId w:val="463667906"/>
        <w:rPr>
          <w:sz w:val="18"/>
          <w:szCs w:val="18"/>
        </w:rPr>
      </w:pPr>
      <w:r>
        <w:rPr>
          <w:rFonts w:hint="eastAsia"/>
          <w:sz w:val="18"/>
          <w:szCs w:val="18"/>
        </w:rPr>
        <w:t>报告期内，根据《上市公司章程指引》（2022年修订）等相关法律、法规及规范性文件的有关规定，公司结合实际，对《公司章程》部分条款进行了修订，并经公司第八届董事会第十次会议、2021年度股东大会审议通过。详见公司于2022年4月27日、2022年6月25日刊登在《证券时报》、巨潮资讯网上的《章程修正案》（公告编号：2022-014）、《第八届董事会第十次会议决议公告》（公告编号：2022-021）、《2021年度股东大会决议公告》（公告编号：2022-034）。</w:t>
      </w:r>
    </w:p>
    <w:p w:rsidR="00CB63CD" w:rsidRDefault="00CB63CD">
      <w:pPr>
        <w:pStyle w:val="a3"/>
        <w:divId w:val="463667906"/>
        <w:rPr>
          <w:sz w:val="18"/>
          <w:szCs w:val="18"/>
        </w:rPr>
      </w:pPr>
      <w:r>
        <w:rPr>
          <w:rFonts w:hint="eastAsia"/>
          <w:sz w:val="18"/>
          <w:szCs w:val="18"/>
        </w:rPr>
        <w:t>2、控股股东协议转让股份事项</w:t>
      </w:r>
    </w:p>
    <w:p w:rsidR="00CB63CD" w:rsidRDefault="00CB63CD" w:rsidP="0085687D">
      <w:pPr>
        <w:pStyle w:val="a3"/>
        <w:jc w:val="both"/>
        <w:divId w:val="463667906"/>
        <w:rPr>
          <w:sz w:val="18"/>
          <w:szCs w:val="18"/>
        </w:rPr>
      </w:pPr>
      <w:r>
        <w:rPr>
          <w:rFonts w:hint="eastAsia"/>
          <w:sz w:val="18"/>
          <w:szCs w:val="18"/>
        </w:rPr>
        <w:t>报告期内，控股股东华西集团通过协议转让方式将其持有的公司99,629,483股股份转让给江阴市凝秀建设投资发展有限公司，转让价格为5.6元/股，截止报告期末，该协议转让股份事项尚在进展过程中。详见公司于2022年4月9日、2022年4月29日刊登在《证券时报》、巨潮资讯网上的《关于控股股东协议转让部分股份暨权益变动的公告》（公告编号：2022-004）、《关于控股股东协议转让部分股份的进展公告》（公告编号：2022-026）。</w:t>
      </w:r>
    </w:p>
    <w:p w:rsidR="00F068AD" w:rsidRDefault="00CB63CD">
      <w:pPr>
        <w:pStyle w:val="2"/>
        <w:spacing w:before="300" w:after="300" w:line="320" w:lineRule="exact"/>
        <w:rPr>
          <w:rFonts w:ascii="宋体" w:eastAsia="宋体" w:hAnsi="宋体" w:cs="宋体"/>
          <w:b/>
          <w:bCs/>
          <w:sz w:val="24"/>
          <w:szCs w:val="24"/>
        </w:rPr>
      </w:pPr>
      <w:bookmarkStart w:id="75" w:name="_Toc988964"/>
      <w:r>
        <w:rPr>
          <w:rFonts w:ascii="宋体" w:eastAsia="宋体" w:hAnsi="宋体" w:cs="宋体"/>
          <w:b/>
          <w:bCs/>
          <w:sz w:val="24"/>
          <w:szCs w:val="24"/>
        </w:rPr>
        <w:t>十四、公司子公司重大事项</w:t>
      </w:r>
      <w:bookmarkEnd w:id="75"/>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r>
        <w:br w:type="page"/>
      </w:r>
    </w:p>
    <w:p w:rsidR="00F068AD" w:rsidRDefault="00CB63CD">
      <w:pPr>
        <w:pStyle w:val="headingh1"/>
        <w:spacing w:before="340" w:after="330" w:line="773" w:lineRule="exact"/>
        <w:jc w:val="center"/>
        <w:rPr>
          <w:rFonts w:ascii="宋体" w:eastAsia="宋体" w:hAnsi="宋体" w:cs="宋体"/>
          <w:b/>
          <w:bCs/>
          <w:sz w:val="32"/>
          <w:szCs w:val="32"/>
        </w:rPr>
      </w:pPr>
      <w:bookmarkStart w:id="76" w:name="_Toc988965"/>
      <w:r>
        <w:rPr>
          <w:rFonts w:ascii="宋体" w:eastAsia="宋体" w:hAnsi="宋体" w:cs="宋体"/>
          <w:b/>
          <w:bCs/>
          <w:sz w:val="32"/>
          <w:szCs w:val="32"/>
        </w:rPr>
        <w:lastRenderedPageBreak/>
        <w:t>第七节 股份变动及股东情况</w:t>
      </w:r>
      <w:bookmarkEnd w:id="76"/>
    </w:p>
    <w:p w:rsidR="00F068AD" w:rsidRDefault="00CB63CD">
      <w:pPr>
        <w:pStyle w:val="2"/>
        <w:spacing w:before="300" w:after="300" w:line="320" w:lineRule="exact"/>
        <w:rPr>
          <w:rFonts w:ascii="宋体" w:eastAsia="宋体" w:hAnsi="宋体" w:cs="宋体"/>
          <w:b/>
          <w:bCs/>
          <w:sz w:val="24"/>
          <w:szCs w:val="24"/>
        </w:rPr>
      </w:pPr>
      <w:bookmarkStart w:id="77" w:name="_Toc988966"/>
      <w:r>
        <w:rPr>
          <w:rFonts w:ascii="宋体" w:eastAsia="宋体" w:hAnsi="宋体" w:cs="宋体"/>
          <w:b/>
          <w:bCs/>
          <w:sz w:val="24"/>
          <w:szCs w:val="24"/>
        </w:rPr>
        <w:t>一、股份变动情况</w:t>
      </w:r>
      <w:bookmarkEnd w:id="77"/>
    </w:p>
    <w:p w:rsidR="00F068AD" w:rsidRDefault="00CB63CD">
      <w:pPr>
        <w:pStyle w:val="3"/>
        <w:spacing w:line="280" w:lineRule="exact"/>
        <w:jc w:val="left"/>
        <w:rPr>
          <w:rFonts w:ascii="宋体" w:hAnsi="宋体" w:cs="宋体"/>
          <w:b/>
          <w:bCs/>
        </w:rPr>
      </w:pPr>
      <w:bookmarkStart w:id="78" w:name="_Toc988967"/>
      <w:r>
        <w:rPr>
          <w:rFonts w:ascii="宋体" w:hAnsi="宋体" w:cs="宋体"/>
          <w:b/>
          <w:bCs/>
        </w:rPr>
        <w:t>1、股份变动情况</w:t>
      </w:r>
      <w:bookmarkEnd w:id="78"/>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963"/>
        <w:gridCol w:w="964"/>
        <w:gridCol w:w="964"/>
        <w:gridCol w:w="964"/>
        <w:gridCol w:w="964"/>
        <w:gridCol w:w="964"/>
        <w:gridCol w:w="964"/>
        <w:gridCol w:w="964"/>
        <w:gridCol w:w="964"/>
        <w:gridCol w:w="964"/>
      </w:tblGrid>
      <w:tr w:rsidR="00F068AD">
        <w:trPr>
          <w:trHeight w:val="240"/>
        </w:trPr>
        <w:tc>
          <w:tcPr>
            <w:tcW w:w="96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本次变动前</w:t>
            </w:r>
          </w:p>
        </w:tc>
        <w:tc>
          <w:tcPr>
            <w:tcW w:w="4820"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本次变动增减（＋，－）</w:t>
            </w:r>
          </w:p>
        </w:tc>
        <w:tc>
          <w:tcPr>
            <w:tcW w:w="192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本次变动后</w:t>
            </w:r>
          </w:p>
        </w:tc>
      </w:tr>
      <w:tr w:rsidR="00F068AD">
        <w:trPr>
          <w:trHeight w:val="240"/>
        </w:trPr>
        <w:tc>
          <w:tcPr>
            <w:tcW w:w="96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发行新股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送股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公积金转股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r>
      <w:tr w:rsidR="00F068AD">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一、有限售条件股份</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240,748</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0.03%</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240,748</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0.03%</w:t>
            </w:r>
          </w:p>
        </w:tc>
      </w:tr>
      <w:tr w:rsidR="00F068AD">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1、国家持股</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2、国有法人持股</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3、其他内资持股</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240,748</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0.03%</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240,748</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0.03%</w:t>
            </w:r>
          </w:p>
        </w:tc>
      </w:tr>
      <w:tr w:rsidR="00F068AD">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其中：境内法人持股</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境内自然人持股</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240,748</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0.03%</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240,748</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0.03%</w:t>
            </w:r>
          </w:p>
        </w:tc>
      </w:tr>
      <w:tr w:rsidR="00F068AD">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4、外资持股</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其中：境外法人持股</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境外自然人持股</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二、无限售条件股份</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885,772,139</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99.97%</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885,772,139</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1、人民币普通股</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885,772,139</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99.97%</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885,772,139</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99.97%</w:t>
            </w:r>
          </w:p>
        </w:tc>
      </w:tr>
      <w:tr w:rsidR="00F068AD">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2、境内上市的外资股</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3、境外上市的外资股</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4、其</w:t>
            </w:r>
            <w:r>
              <w:rPr>
                <w:rFonts w:ascii="宋体" w:eastAsia="宋体" w:hAnsi="宋体" w:cs="宋体"/>
                <w:sz w:val="18"/>
                <w:szCs w:val="18"/>
              </w:rPr>
              <w:lastRenderedPageBreak/>
              <w:t>他</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lastRenderedPageBreak/>
              <w:t>0</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三、股份总数</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886,012,887</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886,012,887</w:t>
            </w:r>
          </w:p>
        </w:tc>
        <w:tc>
          <w:tcPr>
            <w:tcW w:w="96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100.00%</w:t>
            </w:r>
          </w:p>
        </w:tc>
      </w:tr>
    </w:tbl>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股份变动的原因</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股份变动的批准情况</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股份变动的过户情况</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股份回购的实施进展情况</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采用集中竞价方式减持回购股份的实施进展情况</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股份变动对最近一年和最近一期基本每股收益和稀释每股收益、归属于公司普通股股东的每股净资产等财务指标的影响</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公司认为必要或证券监管机构要求披露的其他内容</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pStyle w:val="3"/>
        <w:spacing w:line="280" w:lineRule="exact"/>
        <w:jc w:val="left"/>
        <w:rPr>
          <w:rFonts w:ascii="宋体" w:hAnsi="宋体" w:cs="宋体"/>
          <w:b/>
          <w:bCs/>
        </w:rPr>
      </w:pPr>
      <w:bookmarkStart w:id="79" w:name="_Toc988968"/>
      <w:r>
        <w:rPr>
          <w:rFonts w:ascii="宋体" w:hAnsi="宋体" w:cs="宋体"/>
          <w:b/>
          <w:bCs/>
        </w:rPr>
        <w:t>2、限售股份变动情况</w:t>
      </w:r>
      <w:bookmarkEnd w:id="79"/>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pStyle w:val="2"/>
        <w:spacing w:before="300" w:after="300" w:line="320" w:lineRule="exact"/>
        <w:rPr>
          <w:rFonts w:ascii="宋体" w:eastAsia="宋体" w:hAnsi="宋体" w:cs="宋体"/>
          <w:b/>
          <w:bCs/>
          <w:sz w:val="24"/>
          <w:szCs w:val="24"/>
        </w:rPr>
      </w:pPr>
      <w:bookmarkStart w:id="80" w:name="_Toc988969"/>
      <w:r>
        <w:rPr>
          <w:rFonts w:ascii="宋体" w:eastAsia="宋体" w:hAnsi="宋体" w:cs="宋体"/>
          <w:b/>
          <w:bCs/>
          <w:sz w:val="24"/>
          <w:szCs w:val="24"/>
        </w:rPr>
        <w:t>二、证券发行与上市情况</w:t>
      </w:r>
      <w:bookmarkEnd w:id="80"/>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pStyle w:val="2"/>
        <w:spacing w:before="300" w:after="300" w:line="320" w:lineRule="exact"/>
        <w:rPr>
          <w:rFonts w:ascii="宋体" w:eastAsia="宋体" w:hAnsi="宋体" w:cs="宋体"/>
          <w:b/>
          <w:bCs/>
          <w:sz w:val="24"/>
          <w:szCs w:val="24"/>
        </w:rPr>
      </w:pPr>
      <w:bookmarkStart w:id="81" w:name="_Toc988970"/>
      <w:r>
        <w:rPr>
          <w:rFonts w:ascii="宋体" w:eastAsia="宋体" w:hAnsi="宋体" w:cs="宋体"/>
          <w:b/>
          <w:bCs/>
          <w:sz w:val="24"/>
          <w:szCs w:val="24"/>
        </w:rPr>
        <w:t>三、公司股东数量及持股情况</w:t>
      </w:r>
      <w:bookmarkEnd w:id="81"/>
    </w:p>
    <w:p w:rsidR="00F068AD" w:rsidRDefault="00CB63CD">
      <w:pPr>
        <w:spacing w:before="120" w:after="12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770"/>
        <w:gridCol w:w="301"/>
        <w:gridCol w:w="1071"/>
        <w:gridCol w:w="1071"/>
      </w:tblGrid>
      <w:tr w:rsidR="00F068AD">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报告期末普通股股东总数</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56,794</w:t>
            </w:r>
          </w:p>
        </w:tc>
        <w:tc>
          <w:tcPr>
            <w:tcW w:w="3213"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rsidP="00B23394">
            <w:pPr>
              <w:spacing w:before="40" w:after="40" w:line="240" w:lineRule="exact"/>
              <w:rPr>
                <w:rFonts w:ascii="宋体" w:eastAsia="宋体" w:hAnsi="宋体" w:cs="宋体"/>
                <w:sz w:val="18"/>
                <w:szCs w:val="18"/>
              </w:rPr>
            </w:pPr>
            <w:r>
              <w:rPr>
                <w:rFonts w:ascii="宋体" w:eastAsia="宋体" w:hAnsi="宋体" w:cs="宋体"/>
                <w:sz w:val="18"/>
                <w:szCs w:val="18"/>
              </w:rPr>
              <w:t>报告期末表决权恢复的优先股股东总数</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F068AD">
        <w:trPr>
          <w:trHeight w:val="240"/>
        </w:trPr>
        <w:tc>
          <w:tcPr>
            <w:tcW w:w="9639" w:type="dxa"/>
            <w:gridSpan w:val="10"/>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持股5%以上的普通股股东或前10名普通股股东持股情况</w:t>
            </w:r>
          </w:p>
        </w:tc>
      </w:tr>
      <w:tr w:rsidR="00F068AD">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股东性质</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报告期末持有的普通股数量</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报告期内增减变动情况</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持有有限售条件的普通股数量</w:t>
            </w:r>
          </w:p>
        </w:tc>
        <w:tc>
          <w:tcPr>
            <w:tcW w:w="1071"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持有无限售条件的普通股数量</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质押、标记或冻结情况</w:t>
            </w:r>
          </w:p>
        </w:tc>
      </w:tr>
      <w:tr w:rsidR="00F068AD">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071"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股份状态</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r>
      <w:tr w:rsidR="00F068AD">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境内非国有法人</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40.59%</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359,629,483.00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359,629,483.00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质押</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359,629,483</w:t>
            </w:r>
          </w:p>
        </w:tc>
      </w:tr>
      <w:tr w:rsidR="00F068AD">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陈朝晖</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1.25%</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11,083,800.00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3760800.00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11,083,800.00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蔡玉栋</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0.98%</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8,666,200.00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2129700.00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8,666,200.00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杨光勇</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0.65%</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5,788,004.00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-196000.00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5,788,004.00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宋建新</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0.48%</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4,220,100.00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4,220,100.00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lastRenderedPageBreak/>
              <w:t>李蓬勃</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0.46%</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4,089,000.00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-34400.00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4,089,000.00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李敏</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0.33%</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2,920,100.00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2,920,100.00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阿斯顿（上海）信息科技合伙企业（有限合伙）</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境内非国有法人</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0.33%</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2,908,500.00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2908500.00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2,908,500.00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沈加权</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0.33%</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2,887,000.00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407000.00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2,887,000.00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王申安</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0.31%</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2,788,000.00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2788000.00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2,788,000.00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23394" w:rsidRDefault="00CB63CD" w:rsidP="00B23394">
            <w:pPr>
              <w:spacing w:before="40" w:after="40" w:line="240" w:lineRule="exact"/>
              <w:rPr>
                <w:rFonts w:ascii="宋体" w:eastAsia="宋体" w:hAnsi="宋体" w:cs="宋体"/>
                <w:sz w:val="18"/>
                <w:szCs w:val="18"/>
              </w:rPr>
            </w:pPr>
            <w:r>
              <w:rPr>
                <w:rFonts w:ascii="宋体" w:eastAsia="宋体" w:hAnsi="宋体" w:cs="宋体"/>
                <w:sz w:val="18"/>
                <w:szCs w:val="18"/>
              </w:rPr>
              <w:t>战略投资者或一般法人因配售新股成为前10名普通股股东的情况</w:t>
            </w:r>
          </w:p>
        </w:tc>
        <w:tc>
          <w:tcPr>
            <w:tcW w:w="7497" w:type="dxa"/>
            <w:gridSpan w:val="8"/>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不适用</w:t>
            </w:r>
          </w:p>
        </w:tc>
      </w:tr>
      <w:tr w:rsidR="00F068AD">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上述股东关联关系或一致行动的说明</w:t>
            </w:r>
          </w:p>
        </w:tc>
        <w:tc>
          <w:tcPr>
            <w:tcW w:w="7497" w:type="dxa"/>
            <w:gridSpan w:val="8"/>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公司控股股东江苏华西集团有限公司与前十名股东之间不存在关联关系，也不属于《上市公司持股变动信息披露管理办法》中规定的一致行动人。未知其他股东之间是否存在关联关系，也未知是否属于《上市公司持股变动信息披露管理办法》中规定的一致行动人。</w:t>
            </w:r>
          </w:p>
        </w:tc>
      </w:tr>
      <w:tr w:rsidR="00F068AD">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上述股东涉及委托/受托表决权、放弃表决权情况的说明</w:t>
            </w:r>
          </w:p>
        </w:tc>
        <w:tc>
          <w:tcPr>
            <w:tcW w:w="7497" w:type="dxa"/>
            <w:gridSpan w:val="8"/>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不适用</w:t>
            </w:r>
          </w:p>
        </w:tc>
      </w:tr>
      <w:tr w:rsidR="00F068AD">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23394" w:rsidRDefault="00CB63CD" w:rsidP="00B23394">
            <w:pPr>
              <w:spacing w:before="40" w:after="40" w:line="240" w:lineRule="exact"/>
              <w:rPr>
                <w:rFonts w:ascii="宋体" w:eastAsia="宋体" w:hAnsi="宋体" w:cs="宋体"/>
                <w:sz w:val="18"/>
                <w:szCs w:val="18"/>
              </w:rPr>
            </w:pPr>
            <w:r>
              <w:rPr>
                <w:rFonts w:ascii="宋体" w:eastAsia="宋体" w:hAnsi="宋体" w:cs="宋体"/>
                <w:sz w:val="18"/>
                <w:szCs w:val="18"/>
              </w:rPr>
              <w:t>前10名股东中存在回购专户的特别说明</w:t>
            </w:r>
          </w:p>
        </w:tc>
        <w:tc>
          <w:tcPr>
            <w:tcW w:w="7497" w:type="dxa"/>
            <w:gridSpan w:val="8"/>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不适用</w:t>
            </w:r>
          </w:p>
        </w:tc>
      </w:tr>
      <w:tr w:rsidR="00F068AD">
        <w:trPr>
          <w:trHeight w:val="240"/>
        </w:trPr>
        <w:tc>
          <w:tcPr>
            <w:tcW w:w="9639" w:type="dxa"/>
            <w:gridSpan w:val="10"/>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前10名无限售条件普通股股东持股情况</w:t>
            </w:r>
          </w:p>
        </w:tc>
      </w:tr>
      <w:tr w:rsidR="00F068AD" w:rsidTr="00CB17F6">
        <w:trPr>
          <w:trHeight w:val="240"/>
        </w:trPr>
        <w:tc>
          <w:tcPr>
            <w:tcW w:w="2142"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5054" w:type="dxa"/>
            <w:gridSpan w:val="5"/>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报告期末持有无限售条件普通股股份数量</w:t>
            </w:r>
          </w:p>
        </w:tc>
        <w:tc>
          <w:tcPr>
            <w:tcW w:w="2443"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股份种类</w:t>
            </w:r>
          </w:p>
        </w:tc>
      </w:tr>
      <w:tr w:rsidR="00F068AD" w:rsidTr="00CB17F6">
        <w:trPr>
          <w:trHeight w:val="240"/>
        </w:trPr>
        <w:tc>
          <w:tcPr>
            <w:tcW w:w="2142"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5054" w:type="dxa"/>
            <w:gridSpan w:val="5"/>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37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股份种类</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r>
      <w:tr w:rsidR="00F068AD" w:rsidTr="00CB17F6">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359,629,483.00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359,629,483</w:t>
            </w:r>
          </w:p>
        </w:tc>
      </w:tr>
      <w:tr w:rsidR="00F068AD" w:rsidTr="00CB17F6">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陈朝晖</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11,083,800.00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11,083,800</w:t>
            </w:r>
          </w:p>
        </w:tc>
      </w:tr>
      <w:tr w:rsidR="00F068AD" w:rsidTr="00CB17F6">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蔡玉栋</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8,666,200.00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8,666,200</w:t>
            </w:r>
          </w:p>
        </w:tc>
      </w:tr>
      <w:tr w:rsidR="00F068AD" w:rsidTr="00CB17F6">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杨光勇</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5,788,004.00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5,788,004</w:t>
            </w:r>
          </w:p>
        </w:tc>
      </w:tr>
      <w:tr w:rsidR="00F068AD" w:rsidTr="00CB17F6">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宋建新</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4,220,100.00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4,220,100</w:t>
            </w:r>
          </w:p>
        </w:tc>
      </w:tr>
      <w:tr w:rsidR="00F068AD" w:rsidTr="00CB17F6">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李蓬勃</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4,089,000.00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4,089,000</w:t>
            </w:r>
          </w:p>
        </w:tc>
      </w:tr>
      <w:tr w:rsidR="00F068AD" w:rsidTr="00CB17F6">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李敏</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2,920,100.00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2,920,100</w:t>
            </w:r>
          </w:p>
        </w:tc>
      </w:tr>
      <w:tr w:rsidR="00F068AD" w:rsidTr="00CB17F6">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阿斯顿（上海）信息科技合伙企业（有限合伙）</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2,908,500.00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2,908,500</w:t>
            </w:r>
          </w:p>
        </w:tc>
      </w:tr>
      <w:tr w:rsidR="00F068AD" w:rsidTr="00CB17F6">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沈加权</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2,887,000.00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2,887,000</w:t>
            </w:r>
          </w:p>
        </w:tc>
      </w:tr>
      <w:tr w:rsidR="00F068AD" w:rsidTr="00CB17F6">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王申安</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2,788,000.00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2,788,000</w:t>
            </w:r>
          </w:p>
        </w:tc>
      </w:tr>
      <w:tr w:rsidR="00F068AD">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前10名无限售条件普通股股东之间，以及前10名无限售条件普通股股东和前10名普通股股东之间关联关系或一致行动的说明</w:t>
            </w:r>
          </w:p>
        </w:tc>
        <w:tc>
          <w:tcPr>
            <w:tcW w:w="7497" w:type="dxa"/>
            <w:gridSpan w:val="8"/>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公司控股股东江苏华西集团有限公司与前十名股东之间不存在关联关系，也不属于《上市公司持股变动信息披露管理办法》中规定的一致行动人。未知其他股东之间是否存在关联关系，也未知是否属于《上市公司持股变动信息披露管理办法》中规定的一致行动人。</w:t>
            </w:r>
          </w:p>
        </w:tc>
      </w:tr>
      <w:tr w:rsidR="00F068AD">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rsidP="00B23394">
            <w:pPr>
              <w:spacing w:before="40" w:after="40" w:line="240" w:lineRule="exact"/>
              <w:rPr>
                <w:rFonts w:ascii="宋体" w:eastAsia="宋体" w:hAnsi="宋体" w:cs="宋体"/>
                <w:sz w:val="18"/>
                <w:szCs w:val="18"/>
              </w:rPr>
            </w:pPr>
            <w:r>
              <w:rPr>
                <w:rFonts w:ascii="宋体" w:eastAsia="宋体" w:hAnsi="宋体" w:cs="宋体"/>
                <w:sz w:val="18"/>
                <w:szCs w:val="18"/>
              </w:rPr>
              <w:t>前10名普通股股东参与融资融券业务情况说明</w:t>
            </w:r>
          </w:p>
        </w:tc>
        <w:tc>
          <w:tcPr>
            <w:tcW w:w="7497" w:type="dxa"/>
            <w:gridSpan w:val="8"/>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股东“陈朝晖”通过普通账户持有公司股票180,000股，通过信用交易担保证券账户持有公司股票10,903,800股。</w:t>
            </w:r>
          </w:p>
          <w:p w:rsidR="00F068AD" w:rsidRDefault="00CB63CD">
            <w:pPr>
              <w:spacing w:line="240" w:lineRule="exact"/>
              <w:rPr>
                <w:rFonts w:ascii="宋体" w:eastAsia="宋体" w:hAnsi="宋体" w:cs="宋体"/>
                <w:sz w:val="18"/>
                <w:szCs w:val="18"/>
              </w:rPr>
            </w:pPr>
            <w:r>
              <w:rPr>
                <w:rFonts w:ascii="宋体" w:eastAsia="宋体" w:hAnsi="宋体" w:cs="宋体"/>
                <w:sz w:val="18"/>
                <w:szCs w:val="18"/>
              </w:rPr>
              <w:t>股东“杨光勇”通过信用交易担保证券账户持有公司股票5,788,004股。</w:t>
            </w:r>
          </w:p>
          <w:p w:rsidR="00F068AD" w:rsidRDefault="00CB63CD">
            <w:pPr>
              <w:spacing w:line="240" w:lineRule="exact"/>
              <w:rPr>
                <w:rFonts w:ascii="宋体" w:eastAsia="宋体" w:hAnsi="宋体" w:cs="宋体"/>
                <w:sz w:val="18"/>
                <w:szCs w:val="18"/>
              </w:rPr>
            </w:pPr>
            <w:r>
              <w:rPr>
                <w:rFonts w:ascii="宋体" w:eastAsia="宋体" w:hAnsi="宋体" w:cs="宋体"/>
                <w:sz w:val="18"/>
                <w:szCs w:val="18"/>
              </w:rPr>
              <w:t>股东“宋建新”通过信用交易担保证券账户持有公司股票4,220,100股。</w:t>
            </w:r>
          </w:p>
          <w:p w:rsidR="00F068AD" w:rsidRDefault="00CB63CD">
            <w:pPr>
              <w:spacing w:line="240" w:lineRule="exact"/>
              <w:rPr>
                <w:rFonts w:ascii="宋体" w:eastAsia="宋体" w:hAnsi="宋体" w:cs="宋体"/>
                <w:sz w:val="18"/>
                <w:szCs w:val="18"/>
              </w:rPr>
            </w:pPr>
            <w:r>
              <w:rPr>
                <w:rFonts w:ascii="宋体" w:eastAsia="宋体" w:hAnsi="宋体" w:cs="宋体"/>
                <w:sz w:val="18"/>
                <w:szCs w:val="18"/>
              </w:rPr>
              <w:t>股东“李敏”通过普通账户持有公司股票100股，通过信用交易担保证券账户持有公司股票2,920,000股。</w:t>
            </w:r>
          </w:p>
          <w:p w:rsidR="00F068AD" w:rsidRDefault="00CB63CD">
            <w:pPr>
              <w:spacing w:line="240" w:lineRule="exact"/>
              <w:rPr>
                <w:rFonts w:ascii="宋体" w:eastAsia="宋体" w:hAnsi="宋体" w:cs="宋体"/>
                <w:sz w:val="18"/>
                <w:szCs w:val="18"/>
              </w:rPr>
            </w:pPr>
            <w:r>
              <w:rPr>
                <w:rFonts w:ascii="宋体" w:eastAsia="宋体" w:hAnsi="宋体" w:cs="宋体"/>
                <w:sz w:val="18"/>
                <w:szCs w:val="18"/>
              </w:rPr>
              <w:t>股东“沈加权”通过信用交易担保证券账户持有公司股票2,887,000股。</w:t>
            </w:r>
          </w:p>
          <w:p w:rsidR="00F068AD" w:rsidRDefault="00CB63CD">
            <w:pPr>
              <w:spacing w:line="240" w:lineRule="exact"/>
              <w:rPr>
                <w:rFonts w:ascii="宋体" w:eastAsia="宋体" w:hAnsi="宋体" w:cs="宋体"/>
                <w:sz w:val="18"/>
                <w:szCs w:val="18"/>
              </w:rPr>
            </w:pPr>
            <w:r>
              <w:rPr>
                <w:rFonts w:ascii="宋体" w:eastAsia="宋体" w:hAnsi="宋体" w:cs="宋体"/>
                <w:sz w:val="18"/>
                <w:szCs w:val="18"/>
              </w:rPr>
              <w:lastRenderedPageBreak/>
              <w:t>股东“王申安”通过信用交易担保证券账户持有公司股票2,788,000股。</w:t>
            </w:r>
          </w:p>
        </w:tc>
      </w:tr>
    </w:tbl>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公司前10名普通股股东、前10名无限售条件普通股股东在报告期内是否进行约定购回交易</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公司前10名普通股股东、前10名无限售条件普通股股东在报告期内未进行约定购回交易。</w:t>
      </w:r>
    </w:p>
    <w:p w:rsidR="00F068AD" w:rsidRDefault="00CB63CD">
      <w:pPr>
        <w:pStyle w:val="2"/>
        <w:spacing w:before="300" w:after="300" w:line="320" w:lineRule="exact"/>
        <w:rPr>
          <w:rFonts w:ascii="宋体" w:eastAsia="宋体" w:hAnsi="宋体" w:cs="宋体"/>
          <w:b/>
          <w:bCs/>
          <w:sz w:val="24"/>
          <w:szCs w:val="24"/>
        </w:rPr>
      </w:pPr>
      <w:bookmarkStart w:id="82" w:name="_Toc988971"/>
      <w:r>
        <w:rPr>
          <w:rFonts w:ascii="宋体" w:eastAsia="宋体" w:hAnsi="宋体" w:cs="宋体"/>
          <w:b/>
          <w:bCs/>
          <w:sz w:val="24"/>
          <w:szCs w:val="24"/>
        </w:rPr>
        <w:t>四、董事、监事和高级管理人员持股变动</w:t>
      </w:r>
      <w:bookmarkEnd w:id="82"/>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公司董事、监事和高级管理人员在报告期持股情况没有发生变动，具体可参见2021年年报。</w:t>
      </w:r>
    </w:p>
    <w:p w:rsidR="00F068AD" w:rsidRDefault="00CB63CD">
      <w:pPr>
        <w:pStyle w:val="2"/>
        <w:spacing w:before="300" w:after="300" w:line="320" w:lineRule="exact"/>
        <w:rPr>
          <w:rFonts w:ascii="宋体" w:eastAsia="宋体" w:hAnsi="宋体" w:cs="宋体"/>
          <w:b/>
          <w:bCs/>
          <w:sz w:val="24"/>
          <w:szCs w:val="24"/>
        </w:rPr>
      </w:pPr>
      <w:bookmarkStart w:id="83" w:name="_Toc988972"/>
      <w:r>
        <w:rPr>
          <w:rFonts w:ascii="宋体" w:eastAsia="宋体" w:hAnsi="宋体" w:cs="宋体"/>
          <w:b/>
          <w:bCs/>
          <w:sz w:val="24"/>
          <w:szCs w:val="24"/>
        </w:rPr>
        <w:t>五、控股股东或实际控制人变更情况</w:t>
      </w:r>
      <w:bookmarkEnd w:id="83"/>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控股股东报告期内变更</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公司报告期控股股东未发生变更。</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实际控制人报告期内变更</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公司报告期实际控制人未发生变更。</w:t>
      </w:r>
    </w:p>
    <w:p w:rsidR="00F068AD" w:rsidRDefault="00CB63CD">
      <w:r>
        <w:br w:type="page"/>
      </w:r>
    </w:p>
    <w:p w:rsidR="00F068AD" w:rsidRDefault="00CB63CD">
      <w:pPr>
        <w:pStyle w:val="headingh1"/>
        <w:spacing w:before="340" w:after="330" w:line="773" w:lineRule="exact"/>
        <w:jc w:val="center"/>
        <w:rPr>
          <w:rFonts w:ascii="宋体" w:eastAsia="宋体" w:hAnsi="宋体" w:cs="宋体"/>
          <w:b/>
          <w:bCs/>
          <w:sz w:val="32"/>
          <w:szCs w:val="32"/>
        </w:rPr>
      </w:pPr>
      <w:bookmarkStart w:id="84" w:name="_Toc988973"/>
      <w:r>
        <w:rPr>
          <w:rFonts w:ascii="宋体" w:eastAsia="宋体" w:hAnsi="宋体" w:cs="宋体"/>
          <w:b/>
          <w:bCs/>
          <w:sz w:val="32"/>
          <w:szCs w:val="32"/>
        </w:rPr>
        <w:lastRenderedPageBreak/>
        <w:t>第八节 优先股相关情况</w:t>
      </w:r>
      <w:bookmarkEnd w:id="84"/>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line="240" w:lineRule="exact"/>
        <w:rPr>
          <w:rFonts w:ascii="宋体" w:eastAsia="宋体" w:hAnsi="宋体" w:cs="宋体"/>
          <w:sz w:val="18"/>
          <w:szCs w:val="18"/>
        </w:rPr>
      </w:pPr>
      <w:r>
        <w:rPr>
          <w:rFonts w:ascii="宋体" w:eastAsia="宋体" w:hAnsi="宋体" w:cs="宋体"/>
          <w:sz w:val="18"/>
          <w:szCs w:val="18"/>
        </w:rPr>
        <w:t>报告期公司不存在优先股。</w:t>
      </w:r>
    </w:p>
    <w:p w:rsidR="00F068AD" w:rsidRDefault="00CB63CD">
      <w:r>
        <w:br w:type="page"/>
      </w:r>
    </w:p>
    <w:p w:rsidR="00F068AD" w:rsidRDefault="00CB63CD">
      <w:pPr>
        <w:pStyle w:val="headingh1"/>
        <w:spacing w:before="340" w:after="330" w:line="773" w:lineRule="exact"/>
        <w:jc w:val="center"/>
        <w:rPr>
          <w:rFonts w:ascii="宋体" w:eastAsia="宋体" w:hAnsi="宋体" w:cs="宋体"/>
          <w:b/>
          <w:bCs/>
          <w:sz w:val="32"/>
          <w:szCs w:val="32"/>
        </w:rPr>
      </w:pPr>
      <w:bookmarkStart w:id="85" w:name="_Toc988974"/>
      <w:r>
        <w:rPr>
          <w:rFonts w:ascii="宋体" w:eastAsia="宋体" w:hAnsi="宋体" w:cs="宋体"/>
          <w:b/>
          <w:bCs/>
          <w:sz w:val="32"/>
          <w:szCs w:val="32"/>
        </w:rPr>
        <w:lastRenderedPageBreak/>
        <w:t>第九节 债券相关情况</w:t>
      </w:r>
      <w:bookmarkEnd w:id="85"/>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r>
        <w:br w:type="page"/>
      </w:r>
    </w:p>
    <w:p w:rsidR="00F068AD" w:rsidRDefault="00CB63CD">
      <w:pPr>
        <w:pStyle w:val="headingh1"/>
        <w:spacing w:before="340" w:after="330" w:line="773" w:lineRule="exact"/>
        <w:jc w:val="center"/>
        <w:rPr>
          <w:rFonts w:ascii="宋体" w:eastAsia="宋体" w:hAnsi="宋体" w:cs="宋体"/>
          <w:b/>
          <w:bCs/>
          <w:sz w:val="32"/>
          <w:szCs w:val="32"/>
        </w:rPr>
      </w:pPr>
      <w:bookmarkStart w:id="86" w:name="_Toc988975"/>
      <w:r>
        <w:rPr>
          <w:rFonts w:ascii="宋体" w:eastAsia="宋体" w:hAnsi="宋体" w:cs="宋体"/>
          <w:b/>
          <w:bCs/>
          <w:sz w:val="32"/>
          <w:szCs w:val="32"/>
        </w:rPr>
        <w:lastRenderedPageBreak/>
        <w:t>第十节 财务报告</w:t>
      </w:r>
      <w:bookmarkEnd w:id="86"/>
    </w:p>
    <w:p w:rsidR="00F068AD" w:rsidRDefault="00CB63CD">
      <w:pPr>
        <w:pStyle w:val="2"/>
        <w:spacing w:before="300" w:after="300" w:line="320" w:lineRule="exact"/>
        <w:rPr>
          <w:rFonts w:ascii="宋体" w:eastAsia="宋体" w:hAnsi="宋体" w:cs="宋体"/>
          <w:b/>
          <w:bCs/>
          <w:sz w:val="24"/>
          <w:szCs w:val="24"/>
        </w:rPr>
      </w:pPr>
      <w:bookmarkStart w:id="87" w:name="_Toc988976"/>
      <w:r>
        <w:rPr>
          <w:rFonts w:ascii="宋体" w:eastAsia="宋体" w:hAnsi="宋体" w:cs="宋体"/>
          <w:b/>
          <w:bCs/>
          <w:sz w:val="24"/>
          <w:szCs w:val="24"/>
        </w:rPr>
        <w:t>一、审计报告</w:t>
      </w:r>
      <w:bookmarkEnd w:id="87"/>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半年度报告是否经过审计</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公司半年度财务报告未经审计。</w:t>
      </w:r>
    </w:p>
    <w:p w:rsidR="00F068AD" w:rsidRDefault="00CB63CD">
      <w:pPr>
        <w:pStyle w:val="2"/>
        <w:spacing w:before="300" w:after="300" w:line="320" w:lineRule="exact"/>
        <w:rPr>
          <w:rFonts w:ascii="宋体" w:eastAsia="宋体" w:hAnsi="宋体" w:cs="宋体"/>
          <w:b/>
          <w:bCs/>
          <w:sz w:val="24"/>
          <w:szCs w:val="24"/>
        </w:rPr>
      </w:pPr>
      <w:bookmarkStart w:id="88" w:name="_Toc988977"/>
      <w:r>
        <w:rPr>
          <w:rFonts w:ascii="宋体" w:eastAsia="宋体" w:hAnsi="宋体" w:cs="宋体"/>
          <w:b/>
          <w:bCs/>
          <w:sz w:val="24"/>
          <w:szCs w:val="24"/>
        </w:rPr>
        <w:t>二、财务报表</w:t>
      </w:r>
      <w:bookmarkEnd w:id="88"/>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财务附注中报表的单位为：元</w:t>
      </w:r>
    </w:p>
    <w:p w:rsidR="00F068AD" w:rsidRDefault="00CB63CD">
      <w:pPr>
        <w:pStyle w:val="3"/>
        <w:spacing w:line="280" w:lineRule="exact"/>
        <w:jc w:val="left"/>
        <w:rPr>
          <w:rFonts w:ascii="宋体" w:hAnsi="宋体" w:cs="宋体"/>
          <w:b/>
          <w:bCs/>
        </w:rPr>
      </w:pPr>
      <w:bookmarkStart w:id="89" w:name="_Toc988978"/>
      <w:r>
        <w:rPr>
          <w:rFonts w:ascii="宋体" w:hAnsi="宋体" w:cs="宋体"/>
          <w:b/>
          <w:bCs/>
        </w:rPr>
        <w:t>1、合并资产负债表</w:t>
      </w:r>
      <w:bookmarkEnd w:id="89"/>
    </w:p>
    <w:p w:rsidR="00F068AD" w:rsidRDefault="00CB63CD">
      <w:pPr>
        <w:spacing w:line="240" w:lineRule="exact"/>
        <w:rPr>
          <w:rFonts w:ascii="宋体" w:eastAsia="宋体" w:hAnsi="宋体" w:cs="宋体"/>
          <w:sz w:val="18"/>
          <w:szCs w:val="18"/>
        </w:rPr>
      </w:pPr>
      <w:r>
        <w:rPr>
          <w:rFonts w:ascii="宋体" w:eastAsia="宋体" w:hAnsi="宋体" w:cs="宋体"/>
          <w:sz w:val="18"/>
          <w:szCs w:val="18"/>
        </w:rPr>
        <w:t>编制单位：江苏华西村股份有限公司</w:t>
      </w:r>
    </w:p>
    <w:p w:rsidR="00F068AD" w:rsidRDefault="00CB63CD">
      <w:pPr>
        <w:spacing w:line="240" w:lineRule="exact"/>
        <w:jc w:val="center"/>
        <w:rPr>
          <w:rFonts w:ascii="宋体" w:eastAsia="宋体" w:hAnsi="宋体" w:cs="宋体"/>
          <w:sz w:val="18"/>
          <w:szCs w:val="18"/>
        </w:rPr>
      </w:pPr>
      <w:r>
        <w:rPr>
          <w:rFonts w:ascii="宋体" w:eastAsia="宋体" w:hAnsi="宋体" w:cs="宋体"/>
          <w:sz w:val="18"/>
          <w:szCs w:val="18"/>
        </w:rPr>
        <w:t>2022年06月30日</w:t>
      </w:r>
    </w:p>
    <w:p w:rsidR="00F068AD" w:rsidRDefault="00CB63C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2022年6月30日</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2022年1月1日</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772,630,822.13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596,014,660.45</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410,786,826.55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754,949,214.92</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171,411,518.70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107,657,700.49</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201,486,827.19</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238,823,006.16</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70,905,154.94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12,036,075.10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55,391,963.58</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1,113,807.69</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54,412,157.62</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130,621,551.95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227,933,501.48</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7,263,374.33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16,235,685.15</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1,820,498,039.37</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1,954,763,651.44</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3,548,489,277.59</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3,541,409,576.43</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708,302,746.75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708,302,746.75</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404,587,735.07</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422,883,986.83</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77,137,658.38</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55,001,809.08</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21,266,426.10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21,656,222.93</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2,064,864.17</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2,064,864.17</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10,825,866.40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10,461,958.87</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6,309,040.00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6,590,816.00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4,778,983,614.46</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4,768,371,981.06</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6,599,481,653.83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6,723,135,632.50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1,029,859,513.89</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1,080,884,129.07</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50,000,000.00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68,294,292.84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64,154,964.31</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4,752,930.99</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3,254,312.14</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86,926,526.83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77,503,569.97</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23,473,350.54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33,250,134.06</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27,448,324.62</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217,891,257.76</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44,999,435.93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81,108.60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44,300,644.35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9,013,134.57</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10,851,271.75</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1,344,767,510.21</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1,537,870,747.66</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45,019,902.48</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55,207,337.89</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45,019,902.48</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55,207,337.89</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1,389,787,412.69</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1,593,078,085.55</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886,012,887.00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498,278,521.16</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493,599,374.78</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8,031,032.65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-229,378.59</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413,197,242.85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413,197,242.85</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3,268,290,976.15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3,213,863,569.43</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5,073,810,659.81</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5,006,443,695.47</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135,883,581.33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123,613,851.48</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5,209,694,241.14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5,130,057,546.95</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6,599,481,653.83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6,723,135,632.50</w:t>
            </w:r>
          </w:p>
        </w:tc>
      </w:tr>
    </w:tbl>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 xml:space="preserve">法定代表人：吴协恩    </w:t>
      </w:r>
      <w:r w:rsidR="00C9693C">
        <w:rPr>
          <w:rFonts w:ascii="宋体" w:eastAsia="宋体" w:hAnsi="宋体" w:cs="宋体" w:hint="eastAsia"/>
          <w:sz w:val="18"/>
          <w:szCs w:val="18"/>
        </w:rPr>
        <w:t xml:space="preserve">             </w:t>
      </w:r>
      <w:r>
        <w:rPr>
          <w:rFonts w:ascii="宋体" w:eastAsia="宋体" w:hAnsi="宋体" w:cs="宋体"/>
          <w:sz w:val="18"/>
          <w:szCs w:val="18"/>
        </w:rPr>
        <w:t xml:space="preserve">主管会计工作负责人：李满良    </w:t>
      </w:r>
      <w:r w:rsidR="00C9693C">
        <w:rPr>
          <w:rFonts w:ascii="宋体" w:eastAsia="宋体" w:hAnsi="宋体" w:cs="宋体" w:hint="eastAsia"/>
          <w:sz w:val="18"/>
          <w:szCs w:val="18"/>
        </w:rPr>
        <w:t xml:space="preserve">        </w:t>
      </w:r>
      <w:r>
        <w:rPr>
          <w:rFonts w:ascii="宋体" w:eastAsia="宋体" w:hAnsi="宋体" w:cs="宋体"/>
          <w:sz w:val="18"/>
          <w:szCs w:val="18"/>
        </w:rPr>
        <w:t xml:space="preserve">  会计机构负责人：徐建蓉</w:t>
      </w:r>
    </w:p>
    <w:p w:rsidR="00F068AD" w:rsidRDefault="00CB63CD">
      <w:pPr>
        <w:pStyle w:val="3"/>
        <w:spacing w:line="320" w:lineRule="exact"/>
        <w:jc w:val="left"/>
        <w:rPr>
          <w:rFonts w:ascii="宋体" w:hAnsi="宋体" w:cs="宋体"/>
          <w:b/>
          <w:bCs/>
          <w:sz w:val="24"/>
          <w:szCs w:val="24"/>
        </w:rPr>
      </w:pPr>
      <w:bookmarkStart w:id="90" w:name="_Toc988979"/>
      <w:r>
        <w:rPr>
          <w:rFonts w:ascii="宋体" w:hAnsi="宋体" w:cs="宋体"/>
          <w:b/>
          <w:bCs/>
          <w:sz w:val="24"/>
          <w:szCs w:val="24"/>
        </w:rPr>
        <w:t>2、母公司资产负债表</w:t>
      </w:r>
      <w:bookmarkEnd w:id="90"/>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2022年6月30日</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2022年1月1日</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604,333,878.05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417,821,864.72</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404,756,721.94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635,842,644.26</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154,488,439.45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94,608,556.09</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198,935,640.60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238,286,316.15</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39,016,068.94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9,704,515.91</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70,489,225.62</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12,493,995.20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40,924,157.62</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129,405,795.56</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226,603,816.03</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7,152,296.68</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16,016,386.72</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1,608,578,066.84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1,651,378,095.08</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4,428,869,024.37</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4,447,777,989.74</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87,854,746.75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87,854,746.75</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328,301,572.45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345,706,914.19</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62,417,939.77</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45,272,821.80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5,423,220.00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5,448,220.00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4,912,866,503.34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4,932,060,692.48</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6,521,444,570.18</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6,583,438,787.56</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724,859,513.89</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943,384,129.07</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295,000,000.00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75,000,000.00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122,556,837.29</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170,748,808.16</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86,526,053.77</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76,070,231.33</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16,684,598.13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23,484,129.26</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17,763,126.01</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208,264,036.34</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468,427,404.09</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275,009,496.78</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44,300,644.35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7,961,073.07</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9,664,937.73</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1,739,778,606.25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1,781,625,768.67</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15,753,304.25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25,940,739.66</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15,753,304.25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25,940,739.66</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1,755,531,910.50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1,807,566,508.33</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886,012,887.00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540,517,679.10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540,752,276.01</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-3,509,729.03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-4,904,037.55</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443,871,363.70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443,871,363.70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2,899,020,458.91</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2,910,139,790.07</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4,765,912,659.68</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4,775,872,279.23</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6,521,444,570.18</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6,583,438,787.56</w:t>
            </w:r>
          </w:p>
        </w:tc>
      </w:tr>
    </w:tbl>
    <w:p w:rsidR="00F068AD" w:rsidRDefault="00CB63CD">
      <w:pPr>
        <w:pStyle w:val="3"/>
        <w:spacing w:line="280" w:lineRule="exact"/>
        <w:jc w:val="left"/>
        <w:rPr>
          <w:rFonts w:ascii="宋体" w:hAnsi="宋体" w:cs="宋体"/>
          <w:b/>
          <w:bCs/>
        </w:rPr>
      </w:pPr>
      <w:bookmarkStart w:id="91" w:name="_Toc988980"/>
      <w:r>
        <w:rPr>
          <w:rFonts w:ascii="宋体" w:hAnsi="宋体" w:cs="宋体"/>
          <w:b/>
          <w:bCs/>
        </w:rPr>
        <w:t>3、合并利润表</w:t>
      </w:r>
      <w:bookmarkEnd w:id="91"/>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2022年半年度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2021年半年度</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一、营业总收入</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1,477,391,014.14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1,210,054,873.58</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其中：营业收入</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1,477,391,014.14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1,210,054,873.58</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已赚保费</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手续费及佣金收入</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二、营业总成本</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1,418,433,965.11</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1,132,714,170.43</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其中：营业成本</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1,368,836,046.51</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1,028,013,175.26</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手续费及佣金支出</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退保金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赔付支出净额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提取保险责任准备金净额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保单红利支出</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分保费用</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4,187,514.30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5,822,224.58</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1,664,466.44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769,422.20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管理费用</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27,431,689.66</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25,495,733.22</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4,752,549.66</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5,135,476.48</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财务费用</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11,561,698.54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67,478,138.69</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23,741,751.29</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71,871,603.45</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800" w:firstLine="1440"/>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2,232,665.77</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8,331,146.57</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1,295,131.16</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758,800.10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80,904,546.22</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178,522,205.66</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36,101,101.16</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7,256,093.92</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800" w:firstLine="1440"/>
              <w:rPr>
                <w:rFonts w:ascii="宋体" w:eastAsia="宋体" w:hAnsi="宋体" w:cs="宋体"/>
                <w:sz w:val="18"/>
                <w:szCs w:val="18"/>
              </w:rPr>
            </w:pPr>
            <w:r>
              <w:rPr>
                <w:rFonts w:ascii="宋体" w:eastAsia="宋体" w:hAnsi="宋体" w:cs="宋体"/>
                <w:sz w:val="18"/>
                <w:szCs w:val="18"/>
              </w:rPr>
              <w:t>以摊余成本计量的金融资产终止确认收益</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汇兑收益（损失以“-”号填列）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-7,728,357.75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251,213,439.66</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-3,529,971.10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3,445,316.01</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-57,593.64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三、营业利润（亏损以“－”号填列）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129,840,803.92</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511,280,464.58</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226,700.00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180,000.40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626,133.88</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100,010.05</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四、利润总额（亏损总额以“－”号填列）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129,441,370.04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511,360,454.93</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18,443,589.12</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106,590,916.22</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五、净利润（净亏损以“－”号填列）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110,997,780.92</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404,769,538.71</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（一）按经营持续性分类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200" w:firstLine="360"/>
              <w:rPr>
                <w:rFonts w:ascii="宋体" w:eastAsia="宋体" w:hAnsi="宋体" w:cs="宋体"/>
                <w:sz w:val="18"/>
                <w:szCs w:val="18"/>
              </w:rPr>
            </w:pPr>
            <w:r>
              <w:rPr>
                <w:rFonts w:ascii="宋体" w:eastAsia="宋体" w:hAnsi="宋体" w:cs="宋体"/>
                <w:sz w:val="18"/>
                <w:szCs w:val="18"/>
              </w:rPr>
              <w:t>1.持续经营净利润（净亏损以“－”号填列）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110,997,780.92</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404,769,538.71</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200" w:firstLine="360"/>
              <w:rPr>
                <w:rFonts w:ascii="宋体" w:eastAsia="宋体" w:hAnsi="宋体" w:cs="宋体"/>
                <w:sz w:val="18"/>
                <w:szCs w:val="18"/>
              </w:rPr>
            </w:pPr>
            <w:r>
              <w:rPr>
                <w:rFonts w:ascii="宋体" w:eastAsia="宋体" w:hAnsi="宋体" w:cs="宋体"/>
                <w:sz w:val="18"/>
                <w:szCs w:val="18"/>
              </w:rPr>
              <w:t>2.终止经营净利润（净亏损以</w:t>
            </w:r>
            <w:r>
              <w:rPr>
                <w:rFonts w:ascii="宋体" w:eastAsia="宋体" w:hAnsi="宋体" w:cs="宋体"/>
                <w:sz w:val="18"/>
                <w:szCs w:val="18"/>
              </w:rPr>
              <w:lastRenderedPageBreak/>
              <w:t>“－”号填列）</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（二）按所有权归属分类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200" w:firstLine="360"/>
              <w:rPr>
                <w:rFonts w:ascii="宋体" w:eastAsia="宋体" w:hAnsi="宋体" w:cs="宋体"/>
                <w:sz w:val="18"/>
                <w:szCs w:val="18"/>
              </w:rPr>
            </w:pPr>
            <w:r>
              <w:rPr>
                <w:rFonts w:ascii="宋体" w:eastAsia="宋体" w:hAnsi="宋体" w:cs="宋体"/>
                <w:sz w:val="18"/>
                <w:szCs w:val="18"/>
              </w:rPr>
              <w:t>1.归属于母公司所有者的净利润</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98,728,051.07</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392,522,831.50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200" w:firstLine="360"/>
              <w:rPr>
                <w:rFonts w:ascii="宋体" w:eastAsia="宋体" w:hAnsi="宋体" w:cs="宋体"/>
                <w:sz w:val="18"/>
                <w:szCs w:val="18"/>
              </w:rPr>
            </w:pPr>
            <w:r>
              <w:rPr>
                <w:rFonts w:ascii="宋体" w:eastAsia="宋体" w:hAnsi="宋体" w:cs="宋体"/>
                <w:sz w:val="18"/>
                <w:szCs w:val="18"/>
              </w:rPr>
              <w:t>2.少数股东损益</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12,269,729.85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12,246,707.21</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六、其他综合收益的税后净额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8,260,411.24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1,660,120.27</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归属母公司所有者的其他综合收益的税后净额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8,260,411.24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1,660,120.27</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300" w:firstLine="540"/>
              <w:rPr>
                <w:rFonts w:ascii="宋体" w:eastAsia="宋体" w:hAnsi="宋体" w:cs="宋体"/>
                <w:sz w:val="18"/>
                <w:szCs w:val="18"/>
              </w:rPr>
            </w:pPr>
            <w:r>
              <w:rPr>
                <w:rFonts w:ascii="宋体" w:eastAsia="宋体" w:hAnsi="宋体" w:cs="宋体"/>
                <w:sz w:val="18"/>
                <w:szCs w:val="18"/>
              </w:rPr>
              <w:t>5.其他</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8,260,411.24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1,660,120.27</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8,260,411.24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1,660,120.27</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300" w:firstLine="540"/>
              <w:rPr>
                <w:rFonts w:ascii="宋体" w:eastAsia="宋体" w:hAnsi="宋体" w:cs="宋体"/>
                <w:sz w:val="18"/>
                <w:szCs w:val="18"/>
              </w:rPr>
            </w:pPr>
            <w:r>
              <w:rPr>
                <w:rFonts w:ascii="宋体" w:eastAsia="宋体" w:hAnsi="宋体" w:cs="宋体"/>
                <w:sz w:val="18"/>
                <w:szCs w:val="18"/>
              </w:rPr>
              <w:t>7.其他</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归属于少数股东的其他综合收益的税后净额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七、综合收益总额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119,258,192.16</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406,429,658.98</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归属于母公司所有者的综合收益总额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106,988,462.31</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394,182,951.77</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归属于少数股东的综合收益总额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12,269,729.85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12,246,707.21</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八、每股收益：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0.11</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0.44</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0.11</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0.44</w:t>
            </w:r>
          </w:p>
        </w:tc>
      </w:tr>
    </w:tbl>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本期发生同一控制下企业合并的，被合并方在合并前实现的净利润为：0.00元，上期被合并方实现的净利润为：0.00元。</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 xml:space="preserve">法定代表人：吴协恩    </w:t>
      </w:r>
      <w:r w:rsidR="00C9693C">
        <w:rPr>
          <w:rFonts w:ascii="宋体" w:eastAsia="宋体" w:hAnsi="宋体" w:cs="宋体" w:hint="eastAsia"/>
          <w:sz w:val="18"/>
          <w:szCs w:val="18"/>
        </w:rPr>
        <w:t xml:space="preserve">                </w:t>
      </w:r>
      <w:r>
        <w:rPr>
          <w:rFonts w:ascii="宋体" w:eastAsia="宋体" w:hAnsi="宋体" w:cs="宋体"/>
          <w:sz w:val="18"/>
          <w:szCs w:val="18"/>
        </w:rPr>
        <w:t xml:space="preserve">主管会计工作负责人：李满良    </w:t>
      </w:r>
      <w:r w:rsidR="00C9693C">
        <w:rPr>
          <w:rFonts w:ascii="宋体" w:eastAsia="宋体" w:hAnsi="宋体" w:cs="宋体" w:hint="eastAsia"/>
          <w:sz w:val="18"/>
          <w:szCs w:val="18"/>
        </w:rPr>
        <w:t xml:space="preserve">          </w:t>
      </w:r>
      <w:r>
        <w:rPr>
          <w:rFonts w:ascii="宋体" w:eastAsia="宋体" w:hAnsi="宋体" w:cs="宋体"/>
          <w:sz w:val="18"/>
          <w:szCs w:val="18"/>
        </w:rPr>
        <w:t>会计机构负责人：徐建蓉</w:t>
      </w:r>
    </w:p>
    <w:p w:rsidR="00F068AD" w:rsidRDefault="00CB63CD">
      <w:pPr>
        <w:pStyle w:val="3"/>
        <w:spacing w:line="280" w:lineRule="exact"/>
        <w:jc w:val="left"/>
        <w:rPr>
          <w:rFonts w:ascii="宋体" w:hAnsi="宋体" w:cs="宋体"/>
          <w:b/>
          <w:bCs/>
        </w:rPr>
      </w:pPr>
      <w:bookmarkStart w:id="92" w:name="_Toc988981"/>
      <w:r>
        <w:rPr>
          <w:rFonts w:ascii="宋体" w:hAnsi="宋体" w:cs="宋体"/>
          <w:b/>
          <w:bCs/>
        </w:rPr>
        <w:t>4、母公司利润表</w:t>
      </w:r>
      <w:bookmarkEnd w:id="92"/>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2022年半年度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2021年半年度</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一、营业收入</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1,369,755,128.71</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1,206,490,604.60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减：营业成本</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1,346,107,435.43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1,105,373,126.56</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3,099,506.84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4,724,681.18</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1,662,677.45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769,422.20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管理费用</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19,576,880.12</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18,000,062.04</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1,110,000.00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1,020,000.00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财务费用</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6,511,724.96</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65,911,069.78</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lastRenderedPageBreak/>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17,671,617.98</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65,305,096.49</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700" w:firstLine="1260"/>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1,160,969.94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3,195,076.59</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418,517.37</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505,289.17</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52,284,973.85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251,606,777.78</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20,855,480.64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15,132,691.12</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700" w:firstLine="1260"/>
              <w:rPr>
                <w:rFonts w:ascii="宋体" w:eastAsia="宋体" w:hAnsi="宋体" w:cs="宋体"/>
                <w:sz w:val="18"/>
                <w:szCs w:val="18"/>
              </w:rPr>
            </w:pPr>
            <w:r>
              <w:rPr>
                <w:rFonts w:ascii="宋体" w:eastAsia="宋体" w:hAnsi="宋体" w:cs="宋体"/>
                <w:sz w:val="18"/>
                <w:szCs w:val="18"/>
              </w:rPr>
              <w:t>以摊余成本计量的金融资产终止确认收益（损失以“-”号填列）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-7,573,282.60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251,630,519.64</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-3,262,053.29</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-4,600,034.87</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二、营业利润（亏损以“－”号填列）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33,555,059.24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509,834,794.56</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100,000.40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516,000.00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三、利润总额（亏损总额以“－”号填列）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33,039,059.24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509,934,794.96</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-142,253.95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87,675,806.25</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四、净利润（净亏损以“－”号填列）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33,181,313.19</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422,258,988.71</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（一）持续经营净利润（净亏损以“－”号填列）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33,181,313.19</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422,258,988.71</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（二）终止经营净利润（净亏损以“－”号填列）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五、其他综合收益的税后净额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1,394,308.52</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1,660,120.27</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300" w:firstLine="540"/>
              <w:rPr>
                <w:rFonts w:ascii="宋体" w:eastAsia="宋体" w:hAnsi="宋体" w:cs="宋体"/>
                <w:sz w:val="18"/>
                <w:szCs w:val="18"/>
              </w:rPr>
            </w:pPr>
            <w:r>
              <w:rPr>
                <w:rFonts w:ascii="宋体" w:eastAsia="宋体" w:hAnsi="宋体" w:cs="宋体"/>
                <w:sz w:val="18"/>
                <w:szCs w:val="18"/>
              </w:rPr>
              <w:t>5.其他</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1,394,308.52</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1,660,120.27</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1,394,308.52</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1,660,120.27</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300" w:firstLine="540"/>
              <w:rPr>
                <w:rFonts w:ascii="宋体" w:eastAsia="宋体" w:hAnsi="宋体" w:cs="宋体"/>
                <w:sz w:val="18"/>
                <w:szCs w:val="18"/>
              </w:rPr>
            </w:pPr>
            <w:r>
              <w:rPr>
                <w:rFonts w:ascii="宋体" w:eastAsia="宋体" w:hAnsi="宋体" w:cs="宋体"/>
                <w:sz w:val="18"/>
                <w:szCs w:val="18"/>
              </w:rPr>
              <w:lastRenderedPageBreak/>
              <w:t>4.其他债权投资信用减值准备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300" w:firstLine="540"/>
              <w:rPr>
                <w:rFonts w:ascii="宋体" w:eastAsia="宋体" w:hAnsi="宋体" w:cs="宋体"/>
                <w:sz w:val="18"/>
                <w:szCs w:val="18"/>
              </w:rPr>
            </w:pPr>
            <w:r>
              <w:rPr>
                <w:rFonts w:ascii="宋体" w:eastAsia="宋体" w:hAnsi="宋体" w:cs="宋体"/>
                <w:sz w:val="18"/>
                <w:szCs w:val="18"/>
              </w:rPr>
              <w:t>7.其他</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六、综合收益总额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34,575,621.71</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423,919,108.98</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七、每股收益：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0.48</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0.48</w:t>
            </w:r>
          </w:p>
        </w:tc>
      </w:tr>
    </w:tbl>
    <w:p w:rsidR="00F068AD" w:rsidRDefault="00CB63CD">
      <w:pPr>
        <w:pStyle w:val="3"/>
        <w:spacing w:line="280" w:lineRule="exact"/>
        <w:jc w:val="left"/>
        <w:rPr>
          <w:rFonts w:ascii="宋体" w:hAnsi="宋体" w:cs="宋体"/>
          <w:b/>
          <w:bCs/>
        </w:rPr>
      </w:pPr>
      <w:bookmarkStart w:id="93" w:name="_Toc988982"/>
      <w:r>
        <w:rPr>
          <w:rFonts w:ascii="宋体" w:hAnsi="宋体" w:cs="宋体"/>
          <w:b/>
          <w:bCs/>
        </w:rPr>
        <w:t>5、合并现金流量表</w:t>
      </w:r>
      <w:bookmarkEnd w:id="93"/>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jc w:val="center"/>
              <w:rPr>
                <w:rFonts w:ascii="宋体" w:eastAsia="宋体" w:hAnsi="宋体" w:cs="宋体"/>
                <w:sz w:val="18"/>
                <w:szCs w:val="18"/>
              </w:rPr>
            </w:pPr>
            <w:r>
              <w:rPr>
                <w:rFonts w:ascii="宋体" w:eastAsia="宋体" w:hAnsi="宋体" w:cs="宋体"/>
                <w:sz w:val="18"/>
                <w:szCs w:val="18"/>
              </w:rPr>
              <w:t>2022年半年度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jc w:val="center"/>
              <w:rPr>
                <w:rFonts w:ascii="宋体" w:eastAsia="宋体" w:hAnsi="宋体" w:cs="宋体"/>
                <w:sz w:val="18"/>
                <w:szCs w:val="18"/>
              </w:rPr>
            </w:pPr>
            <w:r>
              <w:rPr>
                <w:rFonts w:ascii="宋体" w:eastAsia="宋体" w:hAnsi="宋体" w:cs="宋体"/>
                <w:sz w:val="18"/>
                <w:szCs w:val="18"/>
              </w:rPr>
              <w:t>2021年半年度</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1,610,985,748.55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1,249,761,207.09</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客户存款和同业存放款项净增加额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向中央银行借款净增加额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向其他金融机构拆入资金净增加额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收到原保险合同保费取得的现金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收到再保业务现金净额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保户储金及投资款净增加额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收取利息、手续费及佣金的现金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回购业务资金净增加额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代理买卖证券收到的现金净额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24,812,078.39</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19,364,003.81</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36,678,525.34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11,374,456.78</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1,672,476,352.28</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1,280,499,667.68</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1,409,464,885.54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1,070,169,039.46</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客户贷款及垫款净增加额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存放中央银行和同业款项净增加额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支付原保险合同赔付款项的现金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拆出资金净增加额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支付保单红利的现金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支付给职工以及为职工支付的现金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65,593,765.95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66,053,668.52</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243,139,846.92</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100,056,229.20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46,728,720.70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21,679,532.97</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1,764,927,219.11</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1,257,958,470.15</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-92,450,866.83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22,541,197.53</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597,313,621.08</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959,493,036.34</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15,754,661.32</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21,895,244.11</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20,000.00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25,000,000.00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85,266,094.54</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638,088,282.40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1,066,654,374.99</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23,947,535.24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31,061,458.99</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243,540,446.26</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118,409,497.59</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质押贷款净增加额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267,487,981.50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149,470,956.58</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370,600,300.90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917,183,418.41</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其中：子公司吸收少数股东投资收到的现金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979,000,000.00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1,004,146,671.44</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979,000,000.00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1,004,146,671.44</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988,075,139.41</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1,721,144,493.20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24,178,651.04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179,901,645.67</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其中：子公司支付给少数股东的股利、利润</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25,000,000.00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129,500,000.00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111,803,399.73</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1,141,753,790.45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2,012,849,538.60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-162,753,790.45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-1,008,702,867.16</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6,956,008.04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-1,121,287.90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122,351,651.66</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-70,099,539.12</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525,779,170.47</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826,899,844.52</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648,130,822.13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756,800,305.40</w:t>
            </w:r>
          </w:p>
        </w:tc>
      </w:tr>
    </w:tbl>
    <w:p w:rsidR="00F068AD" w:rsidRDefault="00CB63CD">
      <w:pPr>
        <w:pStyle w:val="3"/>
        <w:spacing w:line="280" w:lineRule="exact"/>
        <w:jc w:val="left"/>
        <w:rPr>
          <w:rFonts w:ascii="宋体" w:hAnsi="宋体" w:cs="宋体"/>
          <w:b/>
          <w:bCs/>
        </w:rPr>
      </w:pPr>
      <w:bookmarkStart w:id="94" w:name="_Toc988983"/>
      <w:r>
        <w:rPr>
          <w:rFonts w:ascii="宋体" w:hAnsi="宋体" w:cs="宋体"/>
          <w:b/>
          <w:bCs/>
        </w:rPr>
        <w:t>6、母公司现金流量表</w:t>
      </w:r>
      <w:bookmarkEnd w:id="94"/>
    </w:p>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jc w:val="center"/>
              <w:rPr>
                <w:rFonts w:ascii="宋体" w:eastAsia="宋体" w:hAnsi="宋体" w:cs="宋体"/>
                <w:sz w:val="18"/>
                <w:szCs w:val="18"/>
              </w:rPr>
            </w:pPr>
            <w:r>
              <w:rPr>
                <w:rFonts w:ascii="宋体" w:eastAsia="宋体" w:hAnsi="宋体" w:cs="宋体"/>
                <w:sz w:val="18"/>
                <w:szCs w:val="18"/>
              </w:rPr>
              <w:t>2022年半年度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jc w:val="center"/>
              <w:rPr>
                <w:rFonts w:ascii="宋体" w:eastAsia="宋体" w:hAnsi="宋体" w:cs="宋体"/>
                <w:sz w:val="18"/>
                <w:szCs w:val="18"/>
              </w:rPr>
            </w:pPr>
            <w:r>
              <w:rPr>
                <w:rFonts w:ascii="宋体" w:eastAsia="宋体" w:hAnsi="宋体" w:cs="宋体"/>
                <w:sz w:val="18"/>
                <w:szCs w:val="18"/>
              </w:rPr>
              <w:t>2021年半年度</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1,502,553,570.07</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1,251,478,230.40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24,812,078.39</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19,364,003.81</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2,503,482,028.16</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3,269,307,092.97</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4,030,847,676.62</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4,540,149,327.18</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1,290,172,849.43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1,172,792,241.84</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支付给职工以及为职工支付的现金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44,861,561.09</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40,979,773.72</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216,969,444.75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75,287,932.79</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2,383,539,387.90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3,297,592,662.58</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3,935,543,243.17</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4,586,652,610.93</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95,304,433.45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-46,503,283.75</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451,827,399.49</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340,894,033.19</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14,717,861.32</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78,423,351.66</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25,000,000.00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491,545,260.81</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419,317,384.85</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16,013,605.57</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24,825,601.63</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210,849,342.29</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37,670,161.00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w:t>
            </w:r>
            <w:r>
              <w:rPr>
                <w:rFonts w:ascii="宋体" w:eastAsia="宋体" w:hAnsi="宋体" w:cs="宋体"/>
                <w:sz w:val="18"/>
                <w:szCs w:val="18"/>
              </w:rPr>
              <w:lastRenderedPageBreak/>
              <w:t>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29,712,754.90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226,862,947.86</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92,208,517.53</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264,682,312.95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327,108,867.32</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674,000,000.00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1,004,146,671.44</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674,000,000.00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1,004,146,671.44</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890,575,139.41</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1,123,694,600.00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18,108,517.73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148,335,138.71</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111,803,399.73</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908,683,657.14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1,383,833,138.44</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-234,683,657.14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-379,686,467.00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6,944,414.05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-1,118,965.35</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132,247,503.31</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-100,199,848.78</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347,586,374.74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748,619,804.00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479,833,878.05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648,419,955.22</w:t>
            </w:r>
          </w:p>
        </w:tc>
      </w:tr>
    </w:tbl>
    <w:p w:rsidR="00F068AD" w:rsidRDefault="00CB63CD">
      <w:pPr>
        <w:pStyle w:val="3"/>
        <w:spacing w:line="280" w:lineRule="exact"/>
        <w:jc w:val="left"/>
        <w:rPr>
          <w:rFonts w:ascii="宋体" w:hAnsi="宋体" w:cs="宋体"/>
          <w:b/>
          <w:bCs/>
        </w:rPr>
      </w:pPr>
      <w:bookmarkStart w:id="95" w:name="_Toc988984"/>
      <w:r>
        <w:rPr>
          <w:rFonts w:ascii="宋体" w:hAnsi="宋体" w:cs="宋体"/>
          <w:b/>
          <w:bCs/>
        </w:rPr>
        <w:t>7、合并所有者权益变动表</w:t>
      </w:r>
      <w:bookmarkEnd w:id="95"/>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本期金额</w:t>
      </w:r>
    </w:p>
    <w:p w:rsidR="00F068AD" w:rsidRDefault="00CB63C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198"/>
        <w:gridCol w:w="562"/>
        <w:gridCol w:w="562"/>
        <w:gridCol w:w="562"/>
        <w:gridCol w:w="562"/>
        <w:gridCol w:w="563"/>
        <w:gridCol w:w="563"/>
        <w:gridCol w:w="563"/>
        <w:gridCol w:w="563"/>
        <w:gridCol w:w="563"/>
        <w:gridCol w:w="563"/>
        <w:gridCol w:w="563"/>
        <w:gridCol w:w="563"/>
        <w:gridCol w:w="563"/>
        <w:gridCol w:w="563"/>
        <w:gridCol w:w="563"/>
      </w:tblGrid>
      <w:tr w:rsidR="00F068AD">
        <w:trPr>
          <w:trHeight w:val="240"/>
        </w:trPr>
        <w:tc>
          <w:tcPr>
            <w:tcW w:w="12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8439"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2022年半年度</w:t>
            </w:r>
          </w:p>
        </w:tc>
      </w:tr>
      <w:tr w:rsidR="00F068AD">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7314"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归属于母公司所有者权益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0" w:lineRule="atLeast"/>
              <w:jc w:val="center"/>
              <w:rPr>
                <w:rFonts w:ascii="宋体" w:eastAsia="宋体" w:hAnsi="宋体" w:cs="宋体"/>
                <w:sz w:val="18"/>
                <w:szCs w:val="18"/>
              </w:rPr>
            </w:pPr>
            <w:r>
              <w:rPr>
                <w:rFonts w:ascii="宋体" w:eastAsia="宋体" w:hAnsi="宋体" w:cs="宋体"/>
                <w:sz w:val="18"/>
                <w:szCs w:val="18"/>
              </w:rPr>
              <w:t>少数股东权益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F068AD">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1688"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专项储备</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一般风险准备</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563" w:type="dxa"/>
            <w:vMerge/>
            <w:tcBorders>
              <w:top w:val="single" w:sz="2" w:space="0" w:color="auto"/>
              <w:left w:val="single" w:sz="2" w:space="0" w:color="auto"/>
              <w:bottom w:val="single" w:sz="2" w:space="0" w:color="auto"/>
              <w:right w:val="single" w:sz="2" w:space="0" w:color="auto"/>
            </w:tcBorders>
            <w:vAlign w:val="center"/>
          </w:tcPr>
          <w:p w:rsidR="00F068AD" w:rsidRDefault="00F068AD"/>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一、上年期末余额</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493,599,374.78</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-229,378.59</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413,197,242.85</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3,213,863,569.43</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5,006,443,695.47</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123,613,851.48</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5,130,057,546.95</w:t>
            </w: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同一控制下企业合并</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二、本年期初余额</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493,599,374.78</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-229,378.59</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413,197,242.85</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3,213,863,569.4</w:t>
            </w:r>
            <w:r>
              <w:rPr>
                <w:rFonts w:ascii="宋体" w:eastAsia="宋体" w:hAnsi="宋体" w:cs="宋体"/>
                <w:sz w:val="18"/>
                <w:szCs w:val="18"/>
              </w:rPr>
              <w:lastRenderedPageBreak/>
              <w:t>3</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5,006,443,695.4</w:t>
            </w:r>
            <w:r>
              <w:rPr>
                <w:rFonts w:ascii="宋体" w:eastAsia="宋体" w:hAnsi="宋体" w:cs="宋体"/>
                <w:sz w:val="18"/>
                <w:szCs w:val="18"/>
              </w:rPr>
              <w:lastRenderedPageBreak/>
              <w:t>7</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lastRenderedPageBreak/>
              <w:t>123,613,851.48</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5,130,057,546.9</w:t>
            </w:r>
            <w:r>
              <w:rPr>
                <w:rFonts w:ascii="宋体" w:eastAsia="宋体" w:hAnsi="宋体" w:cs="宋体"/>
                <w:sz w:val="18"/>
                <w:szCs w:val="18"/>
              </w:rPr>
              <w:lastRenderedPageBreak/>
              <w:t>5</w:t>
            </w: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三、本期增减变动金额（减少以“－”号填列）</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4,679,146.38</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8,260,411.24</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54,427,406.72</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67,366,964.34</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12,269,729.85</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79,636,694.19</w:t>
            </w: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（一）综合收益总额</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8,260,411.24</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98,728,051.07</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106,988,462.31</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12,269,729.85</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119,258,192.16</w:t>
            </w: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（二）所有者投入和减少资本</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1．所有者投入的普通股</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（三）利润分配</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-44,300,644.35</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-44,300,644.35</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-44,300,644.35</w:t>
            </w: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1．提取盈余公积</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2．提取一般风险准备</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3．对所有者（或股东）的分配</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-44,300,644.35</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-44,300,644.35</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-44,300,644.35</w:t>
            </w: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（四）所有者权益内部结转</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1．资本公积转增资本（或股本）</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2．盈余公积转增资本（或股本）</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3．盈余公积弥补亏损</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4．设定受益计划变动额结转留存收益</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（五）专项储备</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1．本期提取</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2．本期使用</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（六）其他</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4,679,146.38</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4,679,146.38</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4,679,146.38</w:t>
            </w: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四、本期期末余额</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498,278,521.16</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8,031,032.65</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413,197,242.85</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3,268,290,976.15</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5,073,810,659.81</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135,883,581.33</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5,209,694,241.14</w:t>
            </w:r>
          </w:p>
        </w:tc>
      </w:tr>
    </w:tbl>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上年金额</w:t>
      </w:r>
    </w:p>
    <w:p w:rsidR="00F068AD" w:rsidRDefault="00CB63C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198"/>
        <w:gridCol w:w="562"/>
        <w:gridCol w:w="562"/>
        <w:gridCol w:w="562"/>
        <w:gridCol w:w="562"/>
        <w:gridCol w:w="563"/>
        <w:gridCol w:w="563"/>
        <w:gridCol w:w="563"/>
        <w:gridCol w:w="563"/>
        <w:gridCol w:w="563"/>
        <w:gridCol w:w="563"/>
        <w:gridCol w:w="563"/>
        <w:gridCol w:w="563"/>
        <w:gridCol w:w="563"/>
        <w:gridCol w:w="563"/>
        <w:gridCol w:w="563"/>
      </w:tblGrid>
      <w:tr w:rsidR="00F068AD">
        <w:trPr>
          <w:trHeight w:val="240"/>
        </w:trPr>
        <w:tc>
          <w:tcPr>
            <w:tcW w:w="12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8439"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2021年半年度</w:t>
            </w:r>
          </w:p>
        </w:tc>
      </w:tr>
      <w:tr w:rsidR="00F068AD">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7314"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归属于母公司所有者权益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少数股东权益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F068AD">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1688"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专项储备</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一般风险准备</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563" w:type="dxa"/>
            <w:vMerge/>
            <w:tcBorders>
              <w:top w:val="single" w:sz="2" w:space="0" w:color="auto"/>
              <w:left w:val="single" w:sz="2" w:space="0" w:color="auto"/>
              <w:bottom w:val="single" w:sz="2" w:space="0" w:color="auto"/>
              <w:right w:val="single" w:sz="2" w:space="0" w:color="auto"/>
            </w:tcBorders>
            <w:vAlign w:val="center"/>
          </w:tcPr>
          <w:p w:rsidR="00F068AD" w:rsidRDefault="00F068AD"/>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563" w:type="dxa"/>
            <w:vMerge/>
            <w:tcBorders>
              <w:top w:val="single" w:sz="2" w:space="0" w:color="auto"/>
              <w:left w:val="single" w:sz="2" w:space="0" w:color="auto"/>
              <w:bottom w:val="single" w:sz="2" w:space="0" w:color="auto"/>
              <w:right w:val="single" w:sz="2" w:space="0" w:color="auto"/>
            </w:tcBorders>
            <w:vAlign w:val="center"/>
          </w:tcPr>
          <w:p w:rsidR="00F068AD" w:rsidRDefault="00F068AD"/>
        </w:tc>
        <w:tc>
          <w:tcPr>
            <w:tcW w:w="563" w:type="dxa"/>
            <w:vMerge/>
            <w:tcBorders>
              <w:top w:val="single" w:sz="2" w:space="0" w:color="auto"/>
              <w:left w:val="single" w:sz="2" w:space="0" w:color="auto"/>
              <w:bottom w:val="single" w:sz="2" w:space="0" w:color="auto"/>
              <w:right w:val="single" w:sz="2" w:space="0" w:color="auto"/>
            </w:tcBorders>
            <w:vAlign w:val="center"/>
          </w:tcPr>
          <w:p w:rsidR="00F068AD" w:rsidRDefault="00F068AD"/>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一、上年期末余额</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494,556,525.41</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-7,351,940.22</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380,797,548.63</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2,948,920,099.00</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4,702,935,119.82</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123,723,847.62</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4,826,658,967.44</w:t>
            </w: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同一控制下企业合并</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二、本年期初余额</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886,012,8</w:t>
            </w:r>
            <w:r>
              <w:rPr>
                <w:rFonts w:ascii="宋体" w:eastAsia="宋体" w:hAnsi="宋体" w:cs="宋体"/>
                <w:sz w:val="18"/>
                <w:szCs w:val="18"/>
              </w:rPr>
              <w:lastRenderedPageBreak/>
              <w:t>87.00</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494,556,5</w:t>
            </w:r>
            <w:r>
              <w:rPr>
                <w:rFonts w:ascii="宋体" w:eastAsia="宋体" w:hAnsi="宋体" w:cs="宋体"/>
                <w:sz w:val="18"/>
                <w:szCs w:val="18"/>
              </w:rPr>
              <w:lastRenderedPageBreak/>
              <w:t>25.41</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-7,351,</w:t>
            </w:r>
            <w:r>
              <w:rPr>
                <w:rFonts w:ascii="宋体" w:eastAsia="宋体" w:hAnsi="宋体" w:cs="宋体"/>
                <w:sz w:val="18"/>
                <w:szCs w:val="18"/>
              </w:rPr>
              <w:lastRenderedPageBreak/>
              <w:t>940.22</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380,797,5</w:t>
            </w:r>
            <w:r>
              <w:rPr>
                <w:rFonts w:ascii="宋体" w:eastAsia="宋体" w:hAnsi="宋体" w:cs="宋体"/>
                <w:sz w:val="18"/>
                <w:szCs w:val="18"/>
              </w:rPr>
              <w:lastRenderedPageBreak/>
              <w:t>48.63</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2,948,920</w:t>
            </w:r>
            <w:r>
              <w:rPr>
                <w:rFonts w:ascii="宋体" w:eastAsia="宋体" w:hAnsi="宋体" w:cs="宋体"/>
                <w:sz w:val="18"/>
                <w:szCs w:val="18"/>
              </w:rPr>
              <w:lastRenderedPageBreak/>
              <w:t>,099.00</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4,702,935</w:t>
            </w:r>
            <w:r>
              <w:rPr>
                <w:rFonts w:ascii="宋体" w:eastAsia="宋体" w:hAnsi="宋体" w:cs="宋体"/>
                <w:sz w:val="18"/>
                <w:szCs w:val="18"/>
              </w:rPr>
              <w:lastRenderedPageBreak/>
              <w:t>,119.82</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lastRenderedPageBreak/>
              <w:t>123,723,8</w:t>
            </w:r>
            <w:r>
              <w:rPr>
                <w:rFonts w:ascii="宋体" w:eastAsia="宋体" w:hAnsi="宋体" w:cs="宋体"/>
                <w:sz w:val="18"/>
                <w:szCs w:val="18"/>
              </w:rPr>
              <w:lastRenderedPageBreak/>
              <w:t>47.62</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lastRenderedPageBreak/>
              <w:t>4,826,658</w:t>
            </w:r>
            <w:r>
              <w:rPr>
                <w:rFonts w:ascii="宋体" w:eastAsia="宋体" w:hAnsi="宋体" w:cs="宋体"/>
                <w:sz w:val="18"/>
                <w:szCs w:val="18"/>
              </w:rPr>
              <w:lastRenderedPageBreak/>
              <w:t>,967.44</w:t>
            </w: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三、本期增减变动金额（减少以“－”号填列）</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137,453.68</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1,660,120.27</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348,222,187.15</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350,019,761.10</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-12,753,292.79</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337,266,468.31</w:t>
            </w: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（一）综合收益总额</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1,660,120.27</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392,522,831.50</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394,182,951.77</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12,246,707.21</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406,429,658.98</w:t>
            </w: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（二）所有者投入和减少资本</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1．所有者投入的普通股</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（三）利润分配</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-44,300,644.35</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-44,300,644.35</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-25,000,000.00</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-69,300,644.35</w:t>
            </w: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1．提取盈余公积</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2．提取一般风险准备</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3．对所有者（或股东）的分配</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-44,300,644.35</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-44,300,644.35</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-25,000,000.00</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-69,300,644.35</w:t>
            </w: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（四）所有者权益内部结转</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1．资本公积转增资本（或股本）</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2．盈余公积转增资本（或股本）</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3．盈余公积弥补亏损</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（五）专项储备</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1．本期提取</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2．本期使用</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（六）其他</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137,453.68</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137,453.68</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137,453.68</w:t>
            </w: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四、本期期末余额</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494,693,979.09</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-5,691,819.95</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380,797,548.63</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3,297,142,286.15</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5,052,954,880.92</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110,970,554.83</w:t>
            </w:r>
          </w:p>
        </w:tc>
        <w:tc>
          <w:tcPr>
            <w:tcW w:w="56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5,163,925,435.75</w:t>
            </w:r>
          </w:p>
        </w:tc>
      </w:tr>
    </w:tbl>
    <w:p w:rsidR="00F068AD" w:rsidRDefault="00CB63CD">
      <w:pPr>
        <w:pStyle w:val="3"/>
        <w:spacing w:line="280" w:lineRule="exact"/>
        <w:jc w:val="left"/>
        <w:rPr>
          <w:rFonts w:ascii="宋体" w:hAnsi="宋体" w:cs="宋体"/>
          <w:b/>
          <w:bCs/>
        </w:rPr>
      </w:pPr>
      <w:bookmarkStart w:id="96" w:name="_Toc988985"/>
      <w:r>
        <w:rPr>
          <w:rFonts w:ascii="宋体" w:hAnsi="宋体" w:cs="宋体"/>
          <w:b/>
          <w:bCs/>
        </w:rPr>
        <w:t>8、母公司所有者权益变动表</w:t>
      </w:r>
      <w:bookmarkEnd w:id="96"/>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本期金额</w:t>
      </w:r>
    </w:p>
    <w:p w:rsidR="00F068AD" w:rsidRDefault="00CB63C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0"/>
        <w:gridCol w:w="703"/>
        <w:gridCol w:w="703"/>
        <w:gridCol w:w="703"/>
        <w:gridCol w:w="704"/>
        <w:gridCol w:w="703"/>
        <w:gridCol w:w="703"/>
        <w:gridCol w:w="703"/>
        <w:gridCol w:w="703"/>
        <w:gridCol w:w="703"/>
        <w:gridCol w:w="703"/>
        <w:gridCol w:w="703"/>
        <w:gridCol w:w="705"/>
      </w:tblGrid>
      <w:tr w:rsidR="00F068AD">
        <w:trPr>
          <w:trHeight w:val="240"/>
        </w:trPr>
        <w:tc>
          <w:tcPr>
            <w:tcW w:w="12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84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2022年半年度</w:t>
            </w:r>
          </w:p>
        </w:tc>
      </w:tr>
      <w:tr w:rsidR="00F068AD">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2110"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专项储备</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F068AD">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703" w:type="dxa"/>
            <w:vMerge/>
            <w:tcBorders>
              <w:top w:val="single" w:sz="2" w:space="0" w:color="auto"/>
              <w:left w:val="single" w:sz="2" w:space="0" w:color="auto"/>
              <w:bottom w:val="single" w:sz="2" w:space="0" w:color="auto"/>
              <w:right w:val="single" w:sz="2" w:space="0" w:color="auto"/>
            </w:tcBorders>
            <w:vAlign w:val="center"/>
          </w:tcPr>
          <w:p w:rsidR="00F068AD" w:rsidRDefault="00F068AD"/>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703" w:type="dxa"/>
            <w:vMerge/>
            <w:tcBorders>
              <w:top w:val="single" w:sz="2" w:space="0" w:color="auto"/>
              <w:left w:val="single" w:sz="2" w:space="0" w:color="auto"/>
              <w:bottom w:val="single" w:sz="2" w:space="0" w:color="auto"/>
              <w:right w:val="single" w:sz="2" w:space="0" w:color="auto"/>
            </w:tcBorders>
            <w:vAlign w:val="center"/>
          </w:tcPr>
          <w:p w:rsidR="00F068AD" w:rsidRDefault="00F068AD"/>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一、上年期末余额</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540,752,276.01</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-4,904,037.55</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443,871,363.70</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2,910,139,790.07</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4,775,872,279.23</w:t>
            </w: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二、本年期初余额</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540,752,276.01</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-4,904,037.55</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443,871,363.70</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2,910,139,790.07</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4,775,872,279.23</w:t>
            </w: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三、本期增</w:t>
            </w:r>
            <w:r>
              <w:rPr>
                <w:rFonts w:ascii="宋体" w:eastAsia="宋体" w:hAnsi="宋体" w:cs="宋体"/>
                <w:sz w:val="18"/>
                <w:szCs w:val="18"/>
              </w:rPr>
              <w:lastRenderedPageBreak/>
              <w:t>减变动金额（减少以“－”号填列）</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-234,5</w:t>
            </w:r>
            <w:r>
              <w:rPr>
                <w:rFonts w:ascii="宋体" w:eastAsia="宋体" w:hAnsi="宋体" w:cs="宋体"/>
                <w:sz w:val="18"/>
                <w:szCs w:val="18"/>
              </w:rPr>
              <w:lastRenderedPageBreak/>
              <w:t>96.91</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1,394,308.</w:t>
            </w:r>
            <w:r>
              <w:rPr>
                <w:rFonts w:ascii="宋体" w:eastAsia="宋体" w:hAnsi="宋体" w:cs="宋体"/>
                <w:sz w:val="18"/>
                <w:szCs w:val="18"/>
              </w:rPr>
              <w:lastRenderedPageBreak/>
              <w:t>52</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-11,11</w:t>
            </w:r>
            <w:r>
              <w:rPr>
                <w:rFonts w:ascii="宋体" w:eastAsia="宋体" w:hAnsi="宋体" w:cs="宋体"/>
                <w:sz w:val="18"/>
                <w:szCs w:val="18"/>
              </w:rPr>
              <w:lastRenderedPageBreak/>
              <w:t>9,331.16</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-9,959</w:t>
            </w:r>
            <w:r>
              <w:rPr>
                <w:rFonts w:ascii="宋体" w:eastAsia="宋体" w:hAnsi="宋体" w:cs="宋体"/>
                <w:sz w:val="18"/>
                <w:szCs w:val="18"/>
              </w:rPr>
              <w:lastRenderedPageBreak/>
              <w:t>,619.55</w:t>
            </w: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（一）综合收益总额</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1,394,308.52</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33,181,313.19</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34,575,621.71</w:t>
            </w: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（二）所有者投入和减少资本</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1．所有者投入的普通股</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（三）利润分配</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-44,300,644.35</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-44,300,644.35</w:t>
            </w: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1．提取盈余公积</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2．对所有者（或股东）的分配</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-44,300,644.35</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-44,300,644.35</w:t>
            </w: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3．其他</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（四）所有者权益内部结转</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1．资本公积转增资本（或股本）</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2．盈余公积转增资本（或股本）</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3．盈余公积弥补亏损</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（五）专项</w:t>
            </w:r>
            <w:r>
              <w:rPr>
                <w:rFonts w:ascii="宋体" w:eastAsia="宋体" w:hAnsi="宋体" w:cs="宋体"/>
                <w:sz w:val="18"/>
                <w:szCs w:val="18"/>
              </w:rPr>
              <w:lastRenderedPageBreak/>
              <w:t>储备</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1．本期提取</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2．本期使用</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（六）其他</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-234,596.91</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-234,596.91</w:t>
            </w: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四、本期期末余额</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540,517,679.10</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-3,509,729.03</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443,871,363.70</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2,899,020,458.91</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4,765,912,659.68</w:t>
            </w:r>
          </w:p>
        </w:tc>
      </w:tr>
    </w:tbl>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上年金额</w:t>
      </w:r>
    </w:p>
    <w:p w:rsidR="00F068AD" w:rsidRDefault="00CB63C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0"/>
        <w:gridCol w:w="703"/>
        <w:gridCol w:w="703"/>
        <w:gridCol w:w="703"/>
        <w:gridCol w:w="704"/>
        <w:gridCol w:w="703"/>
        <w:gridCol w:w="703"/>
        <w:gridCol w:w="703"/>
        <w:gridCol w:w="703"/>
        <w:gridCol w:w="703"/>
        <w:gridCol w:w="703"/>
        <w:gridCol w:w="703"/>
        <w:gridCol w:w="705"/>
      </w:tblGrid>
      <w:tr w:rsidR="00F068AD">
        <w:trPr>
          <w:trHeight w:val="240"/>
        </w:trPr>
        <w:tc>
          <w:tcPr>
            <w:tcW w:w="12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84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2021年半年度</w:t>
            </w:r>
          </w:p>
        </w:tc>
      </w:tr>
      <w:tr w:rsidR="00F068AD">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2110"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专项储备</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F068AD">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703" w:type="dxa"/>
            <w:vMerge/>
            <w:tcBorders>
              <w:top w:val="single" w:sz="2" w:space="0" w:color="auto"/>
              <w:left w:val="single" w:sz="2" w:space="0" w:color="auto"/>
              <w:bottom w:val="single" w:sz="2" w:space="0" w:color="auto"/>
              <w:right w:val="single" w:sz="2" w:space="0" w:color="auto"/>
            </w:tcBorders>
            <w:vAlign w:val="center"/>
          </w:tcPr>
          <w:p w:rsidR="00F068AD" w:rsidRDefault="00F068AD"/>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703" w:type="dxa"/>
            <w:vMerge/>
            <w:tcBorders>
              <w:top w:val="single" w:sz="2" w:space="0" w:color="auto"/>
              <w:left w:val="single" w:sz="2" w:space="0" w:color="auto"/>
              <w:bottom w:val="single" w:sz="2" w:space="0" w:color="auto"/>
              <w:right w:val="single" w:sz="2" w:space="0" w:color="auto"/>
            </w:tcBorders>
            <w:vAlign w:val="center"/>
          </w:tcPr>
          <w:p w:rsidR="00F068AD" w:rsidRDefault="00F068AD"/>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一、上年期末余额</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548,190,966.79</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-7,182,514.58</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411,471,669.48</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2,662,843,186.45</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4,501,336,195.14</w:t>
            </w: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二、本年期初余额</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548,190,966.79</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-7,182,514.58</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411,471,669.48</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2,662,843,186.45</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4,501,336,195.14</w:t>
            </w: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137,453.68</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1,660,120.27</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377,958,344.36</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379,755,918.31</w:t>
            </w: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（一）综合收益总额</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1,660,120.27</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422,258,988.71</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423,919,108.98</w:t>
            </w: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（二）所有者投入和减少资本</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1．所有者投入的普通股</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3．股份支付计入所有</w:t>
            </w:r>
            <w:r>
              <w:rPr>
                <w:rFonts w:ascii="宋体" w:eastAsia="宋体" w:hAnsi="宋体" w:cs="宋体"/>
                <w:sz w:val="18"/>
                <w:szCs w:val="18"/>
              </w:rPr>
              <w:lastRenderedPageBreak/>
              <w:t>者权益的金额</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4．其他</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（三）利润分配</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-44,300,644.35</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-44,300,644.35</w:t>
            </w: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1．提取盈余公积</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2．对所有者（或股东）的分配</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-44,300,644.35</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-44,300,644.35</w:t>
            </w: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3．其他</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（四）所有者权益内部结转</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1．资本公积转增资本（或股本）</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2．盈余公积转增资本（或股本）</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3．盈余公积弥补亏损</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（五）专项储备</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1．本期提取</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2．本期使用</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（六）其他</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137,453.68</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137,453.68</w:t>
            </w:r>
          </w:p>
        </w:tc>
      </w:tr>
      <w:tr w:rsidR="00F068AD">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四、本期期末余额</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548,328,420.47</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-5,522,394.31</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411,471,669.48</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3,040,801,530.81</w:t>
            </w: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4,881,092,113.45</w:t>
            </w:r>
          </w:p>
        </w:tc>
      </w:tr>
    </w:tbl>
    <w:p w:rsidR="00F068AD" w:rsidRDefault="00CB63CD">
      <w:pPr>
        <w:pStyle w:val="2"/>
        <w:spacing w:before="300" w:after="300" w:line="320" w:lineRule="exact"/>
        <w:rPr>
          <w:rFonts w:ascii="宋体" w:eastAsia="宋体" w:hAnsi="宋体" w:cs="宋体"/>
          <w:b/>
          <w:bCs/>
          <w:sz w:val="24"/>
          <w:szCs w:val="24"/>
        </w:rPr>
      </w:pPr>
      <w:bookmarkStart w:id="97" w:name="_Toc988986"/>
      <w:r>
        <w:rPr>
          <w:rFonts w:ascii="宋体" w:eastAsia="宋体" w:hAnsi="宋体" w:cs="宋体"/>
          <w:b/>
          <w:bCs/>
          <w:sz w:val="24"/>
          <w:szCs w:val="24"/>
        </w:rPr>
        <w:t>三、公司基本情况</w:t>
      </w:r>
      <w:bookmarkEnd w:id="97"/>
    </w:p>
    <w:p w:rsidR="00CB63CD" w:rsidRDefault="00CB63CD">
      <w:pPr>
        <w:pStyle w:val="a3"/>
        <w:spacing w:before="0" w:beforeAutospacing="0" w:after="0" w:afterAutospacing="0" w:line="360" w:lineRule="auto"/>
        <w:ind w:firstLine="360"/>
        <w:jc w:val="both"/>
        <w:divId w:val="1705058302"/>
        <w:rPr>
          <w:rFonts w:ascii="Times New Roman" w:hAnsi="Times New Roman" w:cs="Times New Roman"/>
          <w:sz w:val="21"/>
          <w:szCs w:val="21"/>
        </w:rPr>
      </w:pPr>
      <w:r>
        <w:rPr>
          <w:rFonts w:cs="Times New Roman" w:hint="eastAsia"/>
          <w:sz w:val="18"/>
          <w:szCs w:val="18"/>
        </w:rPr>
        <w:t>江苏华西村股份有限公司（以下简称公司）是经江苏省人民政府苏政复（1999）4号文批准，由江阴市华西实业有限公司变更设立的股份有限公司。1999年7月13日，经中国证券监督管理委员会证监发行字[1999]81号文批准，公司</w:t>
      </w:r>
      <w:r>
        <w:rPr>
          <w:rFonts w:cs="Times New Roman" w:hint="eastAsia"/>
          <w:sz w:val="18"/>
          <w:szCs w:val="18"/>
        </w:rPr>
        <w:lastRenderedPageBreak/>
        <w:t>向社会公开发行人民币普通股3,500万股，发行后注册资本为14,000.00万元人民币。1999年8月10日，公司社会公众股在深圳证券交易所挂牌交易。</w:t>
      </w:r>
    </w:p>
    <w:p w:rsidR="00CB63CD" w:rsidRDefault="00CB63CD">
      <w:pPr>
        <w:pStyle w:val="a3"/>
        <w:spacing w:before="0" w:beforeAutospacing="0" w:after="0" w:afterAutospacing="0" w:line="360" w:lineRule="auto"/>
        <w:ind w:right="54" w:firstLine="360"/>
        <w:jc w:val="both"/>
        <w:divId w:val="1705058302"/>
        <w:rPr>
          <w:rFonts w:ascii="Times New Roman" w:hAnsi="Times New Roman" w:cs="Times New Roman"/>
          <w:sz w:val="21"/>
          <w:szCs w:val="21"/>
        </w:rPr>
      </w:pPr>
      <w:r>
        <w:rPr>
          <w:rFonts w:cs="Times New Roman" w:hint="eastAsia"/>
          <w:sz w:val="18"/>
          <w:szCs w:val="18"/>
        </w:rPr>
        <w:t>经过历年送红股、资本公积转增股本、可转债转股及向社会非公开发行后，截至2022年6月30日止，公司注册资本为886,012,887.00元，实收资本（股本）886,012,887.00元。</w:t>
      </w:r>
    </w:p>
    <w:p w:rsidR="00CB63CD" w:rsidRDefault="00CB63CD">
      <w:pPr>
        <w:pStyle w:val="a3"/>
        <w:spacing w:before="0" w:beforeAutospacing="0" w:after="0" w:afterAutospacing="0" w:line="360" w:lineRule="auto"/>
        <w:ind w:firstLine="392"/>
        <w:jc w:val="both"/>
        <w:divId w:val="1705058302"/>
        <w:rPr>
          <w:rFonts w:ascii="Times New Roman" w:hAnsi="Times New Roman" w:cs="Times New Roman"/>
          <w:sz w:val="21"/>
          <w:szCs w:val="21"/>
        </w:rPr>
      </w:pPr>
      <w:r>
        <w:rPr>
          <w:rFonts w:cs="Times New Roman" w:hint="eastAsia"/>
          <w:spacing w:val="8"/>
          <w:sz w:val="18"/>
          <w:szCs w:val="18"/>
        </w:rPr>
        <w:t>公司统一社会信用代码为91320200142273776W。公司注册地址和总部地址均为江阴市华士镇华西村。公司业务性质：投资业务，化纤的生产销售和液体化工仓储。公司法定代表人：吴协恩。</w:t>
      </w:r>
    </w:p>
    <w:p w:rsidR="00CB63CD" w:rsidRDefault="00CB63CD">
      <w:pPr>
        <w:pStyle w:val="a3"/>
        <w:spacing w:before="0" w:beforeAutospacing="0" w:after="0" w:afterAutospacing="0" w:line="360" w:lineRule="auto"/>
        <w:ind w:right="54" w:firstLine="360"/>
        <w:jc w:val="both"/>
        <w:divId w:val="1705058302"/>
        <w:rPr>
          <w:rFonts w:ascii="Times New Roman" w:hAnsi="Times New Roman" w:cs="Times New Roman"/>
          <w:sz w:val="21"/>
          <w:szCs w:val="21"/>
        </w:rPr>
      </w:pPr>
      <w:r>
        <w:rPr>
          <w:rFonts w:cs="Times New Roman" w:hint="eastAsia"/>
          <w:sz w:val="18"/>
          <w:szCs w:val="18"/>
        </w:rPr>
        <w:t>公司经营范围：创业投资；利用自有资产对外投资；化学纤维的制造、加工；国内贸易（不含国家限制及禁止类项目）；自营和代理各类商品及技术的进出口业务（国家限定企业经营或禁止进出口的商品和技术除外）；企业管理服务；化学纤维材料的研发、技术咨询、技术服务与技术转让。（依法须经批准的项目，经相关部门批准后方可开展经营活动）</w:t>
      </w:r>
    </w:p>
    <w:p w:rsidR="00CB63CD" w:rsidRDefault="00CB63CD">
      <w:pPr>
        <w:pStyle w:val="a3"/>
        <w:divId w:val="1705058302"/>
        <w:rPr>
          <w:sz w:val="18"/>
          <w:szCs w:val="18"/>
        </w:rPr>
      </w:pPr>
      <w:r>
        <w:rPr>
          <w:rFonts w:hint="eastAsia"/>
          <w:sz w:val="18"/>
          <w:szCs w:val="18"/>
        </w:rPr>
        <w:t>  许可项目：港口经营（依法须经批准的项目，经相关部门批准后方可开展经营活动，具体经营项目以审批结果为准）</w:t>
      </w:r>
    </w:p>
    <w:p w:rsidR="00CB63CD" w:rsidRDefault="00CB63CD">
      <w:pPr>
        <w:pStyle w:val="a3"/>
        <w:divId w:val="1705058302"/>
        <w:rPr>
          <w:sz w:val="18"/>
          <w:szCs w:val="18"/>
        </w:rPr>
      </w:pPr>
      <w:r>
        <w:rPr>
          <w:rFonts w:hint="eastAsia"/>
          <w:sz w:val="18"/>
          <w:szCs w:val="18"/>
        </w:rPr>
        <w:t>  本财务报表经公司第八届董事会第十三次会议批准于2022年8月24日报出。</w:t>
      </w:r>
    </w:p>
    <w:p w:rsidR="00CB63CD" w:rsidRDefault="00CB63CD">
      <w:pPr>
        <w:pStyle w:val="a3"/>
        <w:spacing w:before="0" w:beforeAutospacing="0" w:after="0" w:afterAutospacing="0"/>
        <w:jc w:val="both"/>
        <w:divId w:val="1705058302"/>
        <w:rPr>
          <w:rFonts w:ascii="Times New Roman" w:hAnsi="Times New Roman" w:cs="Times New Roman"/>
          <w:sz w:val="21"/>
          <w:szCs w:val="21"/>
        </w:rPr>
      </w:pPr>
      <w:r>
        <w:rPr>
          <w:rFonts w:cs="Times New Roman" w:hint="eastAsia"/>
          <w:sz w:val="18"/>
          <w:szCs w:val="18"/>
        </w:rPr>
        <w:t> </w:t>
      </w:r>
    </w:p>
    <w:p w:rsidR="00CB63CD" w:rsidRDefault="00CB63CD">
      <w:pPr>
        <w:pStyle w:val="a3"/>
        <w:spacing w:before="0" w:beforeAutospacing="0" w:after="0" w:afterAutospacing="0" w:line="360" w:lineRule="auto"/>
        <w:ind w:right="54" w:firstLine="360"/>
        <w:jc w:val="both"/>
        <w:divId w:val="1935626255"/>
        <w:rPr>
          <w:rFonts w:ascii="Times New Roman" w:hAnsi="Times New Roman" w:cs="Times New Roman"/>
          <w:sz w:val="21"/>
          <w:szCs w:val="21"/>
        </w:rPr>
      </w:pPr>
      <w:r>
        <w:rPr>
          <w:rFonts w:cs="Times New Roman" w:hint="eastAsia"/>
          <w:sz w:val="18"/>
          <w:szCs w:val="18"/>
        </w:rPr>
        <w:t>公司2022年半年度纳入合并范围的子公司共5户，结构化会计主体1户，详见本附注九“在其他主体中的权益”的披露。公司本半年度合并范围的子公司与上年度相比没有变化。</w:t>
      </w:r>
    </w:p>
    <w:p w:rsidR="00F068AD" w:rsidRDefault="00CB63CD">
      <w:pPr>
        <w:pStyle w:val="2"/>
        <w:spacing w:before="300" w:after="300" w:line="320" w:lineRule="exact"/>
        <w:rPr>
          <w:rFonts w:ascii="宋体" w:eastAsia="宋体" w:hAnsi="宋体" w:cs="宋体"/>
          <w:b/>
          <w:bCs/>
          <w:sz w:val="24"/>
          <w:szCs w:val="24"/>
        </w:rPr>
      </w:pPr>
      <w:bookmarkStart w:id="98" w:name="_Toc988987"/>
      <w:r>
        <w:rPr>
          <w:rFonts w:ascii="宋体" w:eastAsia="宋体" w:hAnsi="宋体" w:cs="宋体"/>
          <w:b/>
          <w:bCs/>
          <w:sz w:val="24"/>
          <w:szCs w:val="24"/>
        </w:rPr>
        <w:t>四、财务报表的编制基础</w:t>
      </w:r>
      <w:bookmarkEnd w:id="98"/>
    </w:p>
    <w:p w:rsidR="00F068AD" w:rsidRDefault="00CB63CD">
      <w:pPr>
        <w:pStyle w:val="3"/>
        <w:spacing w:line="280" w:lineRule="exact"/>
        <w:jc w:val="left"/>
        <w:rPr>
          <w:rFonts w:ascii="宋体" w:hAnsi="宋体" w:cs="宋体"/>
          <w:b/>
          <w:bCs/>
        </w:rPr>
      </w:pPr>
      <w:bookmarkStart w:id="99" w:name="_Toc988988"/>
      <w:r>
        <w:rPr>
          <w:rFonts w:ascii="宋体" w:hAnsi="宋体" w:cs="宋体"/>
          <w:b/>
          <w:bCs/>
        </w:rPr>
        <w:t>1、编制基础</w:t>
      </w:r>
      <w:bookmarkEnd w:id="99"/>
    </w:p>
    <w:p w:rsidR="00CB63CD" w:rsidRDefault="00CB63CD">
      <w:pPr>
        <w:pStyle w:val="a3"/>
        <w:spacing w:before="0" w:beforeAutospacing="0" w:after="0" w:afterAutospacing="0" w:line="360" w:lineRule="auto"/>
        <w:ind w:firstLine="360"/>
        <w:jc w:val="both"/>
        <w:divId w:val="1641960184"/>
        <w:rPr>
          <w:rFonts w:ascii="Times New Roman" w:hAnsi="Times New Roman" w:cs="Times New Roman"/>
          <w:sz w:val="21"/>
          <w:szCs w:val="21"/>
        </w:rPr>
      </w:pPr>
      <w:r>
        <w:rPr>
          <w:rFonts w:cs="Times New Roman" w:hint="eastAsia"/>
          <w:sz w:val="18"/>
          <w:szCs w:val="18"/>
        </w:rPr>
        <w:t>本公司以持续经营为基础，根据实际发生的交易和事项，按照财政部颁布的《企业会计准则-基本准则》及具体会计准则、应用指南、解释以及其他相关规定进行确认和计量，在此基础上编制财务报表。</w:t>
      </w:r>
    </w:p>
    <w:p w:rsidR="00F068AD" w:rsidRDefault="00CB63CD">
      <w:pPr>
        <w:pStyle w:val="3"/>
        <w:spacing w:line="280" w:lineRule="exact"/>
        <w:jc w:val="left"/>
        <w:rPr>
          <w:rFonts w:ascii="宋体" w:hAnsi="宋体" w:cs="宋体"/>
          <w:b/>
          <w:bCs/>
        </w:rPr>
      </w:pPr>
      <w:bookmarkStart w:id="100" w:name="_Toc988989"/>
      <w:r>
        <w:rPr>
          <w:rFonts w:ascii="宋体" w:hAnsi="宋体" w:cs="宋体"/>
          <w:b/>
          <w:bCs/>
        </w:rPr>
        <w:t>2、持续经营</w:t>
      </w:r>
      <w:bookmarkEnd w:id="100"/>
    </w:p>
    <w:p w:rsidR="00CB63CD" w:rsidRDefault="00CB63CD">
      <w:pPr>
        <w:pStyle w:val="a3"/>
        <w:spacing w:before="0" w:beforeAutospacing="0" w:after="0" w:afterAutospacing="0" w:line="360" w:lineRule="auto"/>
        <w:ind w:firstLine="360"/>
        <w:jc w:val="both"/>
        <w:divId w:val="653607705"/>
        <w:rPr>
          <w:rFonts w:ascii="Times New Roman" w:hAnsi="Times New Roman" w:cs="Times New Roman"/>
          <w:sz w:val="21"/>
          <w:szCs w:val="21"/>
        </w:rPr>
      </w:pPr>
      <w:r>
        <w:rPr>
          <w:rFonts w:cs="Times New Roman" w:hint="eastAsia"/>
          <w:sz w:val="18"/>
          <w:szCs w:val="18"/>
        </w:rPr>
        <w:t>本公司管理层相信本公司拥有充足的营运资金，将能自本财务报表批准日后不短于12个月的可预见未来期间内持续经营。因此，公司管理层继续以持续经营为基础编制截至2022年6月30日止的财务报表。</w:t>
      </w:r>
    </w:p>
    <w:p w:rsidR="00F068AD" w:rsidRDefault="00CB63CD">
      <w:pPr>
        <w:pStyle w:val="2"/>
        <w:spacing w:before="300" w:after="300" w:line="560" w:lineRule="exact"/>
        <w:rPr>
          <w:rFonts w:ascii="宋体" w:eastAsia="宋体" w:hAnsi="宋体" w:cs="宋体"/>
          <w:b/>
          <w:bCs/>
          <w:sz w:val="24"/>
          <w:szCs w:val="24"/>
        </w:rPr>
      </w:pPr>
      <w:bookmarkStart w:id="101" w:name="_Toc988990"/>
      <w:r>
        <w:rPr>
          <w:rFonts w:ascii="宋体" w:eastAsia="宋体" w:hAnsi="宋体" w:cs="宋体"/>
          <w:b/>
          <w:bCs/>
          <w:sz w:val="24"/>
          <w:szCs w:val="24"/>
        </w:rPr>
        <w:t>五、重要会计政策及会计估计</w:t>
      </w:r>
      <w:bookmarkEnd w:id="101"/>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具体会计政策和会计估计提示：</w:t>
      </w:r>
    </w:p>
    <w:p w:rsidR="00CB63CD" w:rsidRDefault="00CB63CD">
      <w:pPr>
        <w:pStyle w:val="a3"/>
        <w:spacing w:before="0" w:beforeAutospacing="0" w:after="0" w:afterAutospacing="0" w:line="360" w:lineRule="auto"/>
        <w:ind w:firstLine="360"/>
        <w:jc w:val="both"/>
        <w:divId w:val="900750772"/>
        <w:rPr>
          <w:rFonts w:ascii="Times New Roman" w:hAnsi="Times New Roman" w:cs="Times New Roman"/>
          <w:sz w:val="21"/>
          <w:szCs w:val="21"/>
        </w:rPr>
      </w:pPr>
      <w:r>
        <w:rPr>
          <w:rFonts w:cs="Times New Roman" w:hint="eastAsia"/>
          <w:sz w:val="18"/>
          <w:szCs w:val="18"/>
        </w:rPr>
        <w:lastRenderedPageBreak/>
        <w:t xml:space="preserve">本公司根据实际生产经营特点，依据相关企业会计准则的规定，对研究开发支出、收入确认等交易和事项制定了若干项具体会计政策和会计估计，详见本附注五、23“无形资产”、31“收入”等各项描述。关于管理层所作出的重大会计判断和估计的说明，请参阅附注五、11“应收款项”等各项描述。 </w:t>
      </w:r>
    </w:p>
    <w:p w:rsidR="00F068AD" w:rsidRDefault="00CB63CD">
      <w:pPr>
        <w:pStyle w:val="3"/>
        <w:spacing w:line="280" w:lineRule="exact"/>
        <w:jc w:val="left"/>
        <w:rPr>
          <w:rFonts w:ascii="宋体" w:hAnsi="宋体" w:cs="宋体"/>
          <w:b/>
          <w:bCs/>
        </w:rPr>
      </w:pPr>
      <w:bookmarkStart w:id="102" w:name="_Toc988991"/>
      <w:r>
        <w:rPr>
          <w:rFonts w:ascii="宋体" w:hAnsi="宋体" w:cs="宋体"/>
          <w:b/>
          <w:bCs/>
        </w:rPr>
        <w:t>1、遵循企业会计准则的声明</w:t>
      </w:r>
      <w:bookmarkEnd w:id="102"/>
    </w:p>
    <w:p w:rsidR="00CB63CD" w:rsidRDefault="00CB63CD">
      <w:pPr>
        <w:pStyle w:val="a3"/>
        <w:spacing w:before="0" w:beforeAutospacing="0" w:after="0" w:afterAutospacing="0" w:line="360" w:lineRule="auto"/>
        <w:ind w:firstLine="360"/>
        <w:jc w:val="both"/>
        <w:divId w:val="1622614535"/>
        <w:rPr>
          <w:rFonts w:ascii="Times New Roman" w:hAnsi="Times New Roman" w:cs="Times New Roman"/>
          <w:sz w:val="21"/>
          <w:szCs w:val="21"/>
        </w:rPr>
      </w:pPr>
      <w:r>
        <w:rPr>
          <w:rFonts w:cs="Times New Roman" w:hint="eastAsia"/>
          <w:sz w:val="18"/>
          <w:szCs w:val="18"/>
        </w:rPr>
        <w:t>本公司编制的财务报表符合企业会计准则的要求，真实、完整地反映了公司的财务状况、经营成果和现金流量等有关信息。</w:t>
      </w:r>
    </w:p>
    <w:p w:rsidR="00F068AD" w:rsidRDefault="00CB63CD">
      <w:pPr>
        <w:pStyle w:val="3"/>
        <w:spacing w:line="280" w:lineRule="exact"/>
        <w:jc w:val="left"/>
        <w:rPr>
          <w:rFonts w:ascii="宋体" w:hAnsi="宋体" w:cs="宋体"/>
          <w:b/>
          <w:bCs/>
        </w:rPr>
      </w:pPr>
      <w:bookmarkStart w:id="103" w:name="_Toc988992"/>
      <w:r>
        <w:rPr>
          <w:rFonts w:ascii="宋体" w:hAnsi="宋体" w:cs="宋体"/>
          <w:b/>
          <w:bCs/>
        </w:rPr>
        <w:t>2、会计期间</w:t>
      </w:r>
      <w:bookmarkEnd w:id="103"/>
    </w:p>
    <w:p w:rsidR="00CB63CD" w:rsidRDefault="00CB63CD">
      <w:pPr>
        <w:pStyle w:val="a3"/>
        <w:spacing w:before="0" w:beforeAutospacing="0" w:after="0" w:afterAutospacing="0" w:line="360" w:lineRule="auto"/>
        <w:ind w:firstLine="360"/>
        <w:jc w:val="both"/>
        <w:divId w:val="2075732108"/>
        <w:rPr>
          <w:rFonts w:ascii="Times New Roman" w:hAnsi="Times New Roman" w:cs="Times New Roman"/>
          <w:sz w:val="21"/>
          <w:szCs w:val="21"/>
        </w:rPr>
      </w:pPr>
      <w:r>
        <w:rPr>
          <w:rFonts w:cs="Times New Roman" w:hint="eastAsia"/>
          <w:sz w:val="18"/>
          <w:szCs w:val="18"/>
        </w:rPr>
        <w:t>以公历1月1日起至12月31日止为一个会计年度。</w:t>
      </w:r>
    </w:p>
    <w:p w:rsidR="00F068AD" w:rsidRDefault="00CB63CD">
      <w:pPr>
        <w:pStyle w:val="3"/>
        <w:spacing w:line="280" w:lineRule="exact"/>
        <w:jc w:val="left"/>
        <w:rPr>
          <w:rFonts w:ascii="宋体" w:hAnsi="宋体" w:cs="宋体"/>
          <w:b/>
          <w:bCs/>
        </w:rPr>
      </w:pPr>
      <w:bookmarkStart w:id="104" w:name="_Toc988993"/>
      <w:r>
        <w:rPr>
          <w:rFonts w:ascii="宋体" w:hAnsi="宋体" w:cs="宋体"/>
          <w:b/>
          <w:bCs/>
        </w:rPr>
        <w:t>3、营业周期</w:t>
      </w:r>
      <w:bookmarkEnd w:id="104"/>
    </w:p>
    <w:p w:rsidR="00CB63CD" w:rsidRDefault="00CB63CD">
      <w:pPr>
        <w:pStyle w:val="a3"/>
        <w:spacing w:before="0" w:beforeAutospacing="0" w:after="0" w:afterAutospacing="0" w:line="360" w:lineRule="auto"/>
        <w:ind w:firstLine="360"/>
        <w:jc w:val="both"/>
        <w:divId w:val="570118205"/>
        <w:rPr>
          <w:rFonts w:ascii="Times New Roman" w:hAnsi="Times New Roman" w:cs="Times New Roman"/>
          <w:sz w:val="21"/>
          <w:szCs w:val="21"/>
        </w:rPr>
      </w:pPr>
      <w:r>
        <w:rPr>
          <w:rFonts w:cs="Times New Roman" w:hint="eastAsia"/>
          <w:sz w:val="18"/>
          <w:szCs w:val="18"/>
        </w:rPr>
        <w:t>公司以12个月作为一个营业周期，并以其作为资产和负债的流动性划分标准。</w:t>
      </w:r>
    </w:p>
    <w:p w:rsidR="00F068AD" w:rsidRDefault="00CB63CD">
      <w:pPr>
        <w:pStyle w:val="3"/>
        <w:spacing w:line="280" w:lineRule="exact"/>
        <w:jc w:val="left"/>
        <w:rPr>
          <w:rFonts w:ascii="宋体" w:hAnsi="宋体" w:cs="宋体"/>
          <w:b/>
          <w:bCs/>
        </w:rPr>
      </w:pPr>
      <w:bookmarkStart w:id="105" w:name="_Toc988994"/>
      <w:r>
        <w:rPr>
          <w:rFonts w:ascii="宋体" w:hAnsi="宋体" w:cs="宋体"/>
          <w:b/>
          <w:bCs/>
        </w:rPr>
        <w:t>4、记账本位币</w:t>
      </w:r>
      <w:bookmarkEnd w:id="105"/>
    </w:p>
    <w:p w:rsidR="00CB63CD" w:rsidRDefault="00CB63CD">
      <w:pPr>
        <w:pStyle w:val="a3"/>
        <w:spacing w:before="0" w:beforeAutospacing="0" w:after="0" w:afterAutospacing="0" w:line="360" w:lineRule="auto"/>
        <w:ind w:firstLine="360"/>
        <w:jc w:val="both"/>
        <w:divId w:val="1593275317"/>
        <w:rPr>
          <w:rFonts w:ascii="Times New Roman" w:hAnsi="Times New Roman" w:cs="Times New Roman"/>
          <w:sz w:val="21"/>
          <w:szCs w:val="21"/>
        </w:rPr>
      </w:pPr>
      <w:r>
        <w:rPr>
          <w:rFonts w:cs="Times New Roman" w:hint="eastAsia"/>
          <w:sz w:val="18"/>
          <w:szCs w:val="18"/>
        </w:rPr>
        <w:t>以人民币为记账本位币。</w:t>
      </w:r>
    </w:p>
    <w:p w:rsidR="00F068AD" w:rsidRDefault="00CB63CD">
      <w:pPr>
        <w:pStyle w:val="3"/>
        <w:spacing w:line="280" w:lineRule="exact"/>
        <w:jc w:val="left"/>
        <w:rPr>
          <w:rFonts w:ascii="宋体" w:hAnsi="宋体" w:cs="宋体"/>
          <w:b/>
          <w:bCs/>
        </w:rPr>
      </w:pPr>
      <w:bookmarkStart w:id="106" w:name="_Toc988995"/>
      <w:r>
        <w:rPr>
          <w:rFonts w:ascii="宋体" w:hAnsi="宋体" w:cs="宋体"/>
          <w:b/>
          <w:bCs/>
        </w:rPr>
        <w:t>5、同一控制下和非同一控制下企业合并的会计处理方法</w:t>
      </w:r>
      <w:bookmarkEnd w:id="106"/>
    </w:p>
    <w:p w:rsidR="00CB63CD" w:rsidRDefault="00CB63CD">
      <w:pPr>
        <w:pStyle w:val="a3"/>
        <w:spacing w:before="0" w:beforeAutospacing="0" w:after="0" w:afterAutospacing="0" w:line="360" w:lineRule="auto"/>
        <w:ind w:firstLine="360"/>
        <w:jc w:val="both"/>
        <w:divId w:val="553123879"/>
        <w:rPr>
          <w:rFonts w:ascii="Times New Roman" w:hAnsi="Times New Roman" w:cs="Times New Roman"/>
          <w:sz w:val="21"/>
          <w:szCs w:val="21"/>
        </w:rPr>
      </w:pPr>
      <w:r>
        <w:rPr>
          <w:rFonts w:cs="Times New Roman" w:hint="eastAsia"/>
          <w:sz w:val="18"/>
          <w:szCs w:val="18"/>
        </w:rPr>
        <w:t>(1)同一控制下企业合并</w:t>
      </w:r>
    </w:p>
    <w:p w:rsidR="00CB63CD" w:rsidRDefault="00CB63CD">
      <w:pPr>
        <w:pStyle w:val="a3"/>
        <w:spacing w:before="0" w:beforeAutospacing="0" w:after="0" w:afterAutospacing="0" w:line="360" w:lineRule="auto"/>
        <w:ind w:firstLine="360"/>
        <w:jc w:val="both"/>
        <w:divId w:val="553123879"/>
        <w:rPr>
          <w:rFonts w:ascii="Times New Roman" w:hAnsi="Times New Roman" w:cs="Times New Roman"/>
          <w:sz w:val="21"/>
          <w:szCs w:val="21"/>
        </w:rPr>
      </w:pPr>
      <w:r>
        <w:rPr>
          <w:rFonts w:cs="Times New Roman" w:hint="eastAsia"/>
          <w:sz w:val="18"/>
          <w:szCs w:val="18"/>
        </w:rPr>
        <w:t>参与合并的各方在合并前后均受同一方或相同的多方最终控制且该控制并非暂时性的，为同一控制下企业合并。合并方在企业合并中取得的资产和负债，以被合并方的资产、负债（包括最终控制方收购被合并方而形成的商誉）在最终控制方合并财务报表中的账面价值为基础，进行相关会计处理。合并方取得的净资产账面价值与支付的合并对价账面价值（或发行股份面值总额）的差额，调整资本公积（股本溢价），资本公积（股本溢价）不足以冲减的，调整留存收益。合并日为合并方实际取得对被合并方控制权的日期。</w:t>
      </w:r>
    </w:p>
    <w:p w:rsidR="00CB63CD" w:rsidRDefault="00CB63CD">
      <w:pPr>
        <w:pStyle w:val="a3"/>
        <w:spacing w:before="0" w:beforeAutospacing="0" w:after="0" w:afterAutospacing="0" w:line="360" w:lineRule="auto"/>
        <w:ind w:firstLine="360"/>
        <w:jc w:val="both"/>
        <w:divId w:val="553123879"/>
        <w:rPr>
          <w:rFonts w:ascii="Times New Roman" w:hAnsi="Times New Roman" w:cs="Times New Roman"/>
          <w:sz w:val="21"/>
          <w:szCs w:val="21"/>
        </w:rPr>
      </w:pPr>
      <w:r>
        <w:rPr>
          <w:rFonts w:cs="Times New Roman" w:hint="eastAsia"/>
          <w:sz w:val="18"/>
          <w:szCs w:val="18"/>
        </w:rPr>
        <w:t>通过多次交易分步实现的同一控制下企业合并，合并方在取得被合并方控制权之前持有的长期股权投资，在取得原股权之日与合并方和被合并方同处于同一方最终控制之日孰晚日与合并日之间已确认有关损益、其他综合收益和其他所有者权益变动，分别冲减比较报表期间的期初留存收益或当期损益。</w:t>
      </w:r>
    </w:p>
    <w:p w:rsidR="00CB63CD" w:rsidRDefault="00CB63CD">
      <w:pPr>
        <w:pStyle w:val="a3"/>
        <w:spacing w:before="0" w:beforeAutospacing="0" w:after="0" w:afterAutospacing="0" w:line="360" w:lineRule="auto"/>
        <w:ind w:firstLine="360"/>
        <w:jc w:val="both"/>
        <w:divId w:val="553123879"/>
        <w:rPr>
          <w:rFonts w:ascii="Times New Roman" w:hAnsi="Times New Roman" w:cs="Times New Roman"/>
          <w:sz w:val="21"/>
          <w:szCs w:val="21"/>
        </w:rPr>
      </w:pPr>
      <w:r>
        <w:rPr>
          <w:rFonts w:cs="Times New Roman" w:hint="eastAsia"/>
          <w:sz w:val="18"/>
          <w:szCs w:val="18"/>
        </w:rPr>
        <w:t>（2）非同一控制下企业合并</w:t>
      </w:r>
    </w:p>
    <w:p w:rsidR="00CB63CD" w:rsidRDefault="00CB63CD">
      <w:pPr>
        <w:pStyle w:val="a3"/>
        <w:spacing w:before="0" w:beforeAutospacing="0" w:after="0" w:afterAutospacing="0" w:line="360" w:lineRule="auto"/>
        <w:ind w:firstLine="360"/>
        <w:jc w:val="both"/>
        <w:divId w:val="553123879"/>
        <w:rPr>
          <w:rFonts w:ascii="Times New Roman" w:hAnsi="Times New Roman" w:cs="Times New Roman"/>
          <w:sz w:val="21"/>
          <w:szCs w:val="21"/>
        </w:rPr>
      </w:pPr>
      <w:r>
        <w:rPr>
          <w:rFonts w:cs="Times New Roman" w:hint="eastAsia"/>
          <w:sz w:val="18"/>
          <w:szCs w:val="18"/>
        </w:rPr>
        <w:lastRenderedPageBreak/>
        <w:t>参与合并的各方在合并前后不受同一方或相同的多方最终控制的，为非同一控制下企业合并。购买方支付的合并成本是为取得被购买方控制权而支付的资产、发生或承担的负债以及发行的权益性证券在购买日的公允价值之和。付出资产的公允价值与其账面价值的差额，计入当期损益。购买日是指购买方实际取得对被购买方控制权的日期。</w:t>
      </w:r>
    </w:p>
    <w:p w:rsidR="00CB63CD" w:rsidRDefault="00CB63CD">
      <w:pPr>
        <w:pStyle w:val="a3"/>
        <w:spacing w:before="0" w:beforeAutospacing="0" w:after="0" w:afterAutospacing="0" w:line="360" w:lineRule="auto"/>
        <w:ind w:firstLine="360"/>
        <w:jc w:val="both"/>
        <w:divId w:val="553123879"/>
        <w:rPr>
          <w:rFonts w:ascii="Times New Roman" w:hAnsi="Times New Roman" w:cs="Times New Roman"/>
          <w:sz w:val="21"/>
          <w:szCs w:val="21"/>
        </w:rPr>
      </w:pPr>
      <w:r>
        <w:rPr>
          <w:rFonts w:cs="Times New Roman" w:hint="eastAsia"/>
          <w:sz w:val="18"/>
          <w:szCs w:val="18"/>
        </w:rPr>
        <w:t>购买方在购买日对合并成本进行分配，确认所取得的被购买方各项可辨认资产、负债及或有负债的公允价值。合并成本大于合并中取得的被购买方可辨认净资产公允价值份额的差额，确认为商誉；合并成本小于合并中取得的被购买方可辨认净资产公允价值份额的差额，计入当期损益。</w:t>
      </w:r>
    </w:p>
    <w:p w:rsidR="00CB63CD" w:rsidRDefault="00CB63CD">
      <w:pPr>
        <w:pStyle w:val="a3"/>
        <w:spacing w:before="0" w:beforeAutospacing="0" w:after="0" w:afterAutospacing="0" w:line="360" w:lineRule="auto"/>
        <w:ind w:firstLine="360"/>
        <w:jc w:val="both"/>
        <w:divId w:val="553123879"/>
        <w:rPr>
          <w:rFonts w:ascii="Times New Roman" w:hAnsi="Times New Roman" w:cs="Times New Roman"/>
          <w:sz w:val="21"/>
          <w:szCs w:val="21"/>
        </w:rPr>
      </w:pPr>
      <w:r>
        <w:rPr>
          <w:rFonts w:cs="Times New Roman" w:hint="eastAsia"/>
          <w:sz w:val="18"/>
          <w:szCs w:val="18"/>
        </w:rPr>
        <w:t>通过多次交易分步实现的非同一控制下企业合并，对于购买日之前持有的被购买方的股权，按照该股权在购买日的公允价值进行重新计量，公允价值与其账面价值的差额计入当期投资收益；购买日之前持有的被购买方的股权涉及其他综合收益以及其他所有者权益变动的，与其相关的其他综合收益、其他所有者权益变动转为购买日所属当期投资收益，由于被投资方重新计量设定受益计划净负债或净资产变动而产生的其他综合收益除外。</w:t>
      </w:r>
    </w:p>
    <w:p w:rsidR="00F068AD" w:rsidRDefault="00CB63CD">
      <w:pPr>
        <w:pStyle w:val="3"/>
        <w:spacing w:line="280" w:lineRule="exact"/>
        <w:jc w:val="left"/>
        <w:rPr>
          <w:rFonts w:ascii="宋体" w:hAnsi="宋体" w:cs="宋体"/>
          <w:b/>
          <w:bCs/>
        </w:rPr>
      </w:pPr>
      <w:bookmarkStart w:id="107" w:name="_Toc988996"/>
      <w:r>
        <w:rPr>
          <w:rFonts w:ascii="宋体" w:hAnsi="宋体" w:cs="宋体"/>
          <w:b/>
          <w:bCs/>
        </w:rPr>
        <w:t>6、合并财务报表的编制方法</w:t>
      </w:r>
      <w:bookmarkEnd w:id="107"/>
    </w:p>
    <w:p w:rsidR="00CB63CD" w:rsidRDefault="00CB63CD">
      <w:pPr>
        <w:pStyle w:val="a3"/>
        <w:spacing w:before="0" w:beforeAutospacing="0" w:after="0" w:afterAutospacing="0" w:line="360" w:lineRule="auto"/>
        <w:ind w:firstLine="360"/>
        <w:jc w:val="both"/>
        <w:divId w:val="1551653280"/>
        <w:rPr>
          <w:rFonts w:ascii="Times New Roman" w:hAnsi="Times New Roman" w:cs="Times New Roman"/>
          <w:sz w:val="21"/>
          <w:szCs w:val="21"/>
        </w:rPr>
      </w:pPr>
      <w:r>
        <w:rPr>
          <w:rFonts w:cs="Times New Roman" w:hint="eastAsia"/>
          <w:sz w:val="18"/>
          <w:szCs w:val="18"/>
        </w:rPr>
        <w:t>合并财务报表的合并范围以控制为基础确定，包括公司及公司的子公司（指被公司控制的主体，包括企业、被投资单位中可分割部分、以及企业所控制的结构化主体等）。子公司的经营成果和财务状况由控制开始日起至控制结束日止包含于合并财务报表中。</w:t>
      </w:r>
    </w:p>
    <w:p w:rsidR="00CB63CD" w:rsidRDefault="00CB63CD">
      <w:pPr>
        <w:pStyle w:val="a3"/>
        <w:spacing w:before="0" w:beforeAutospacing="0" w:after="0" w:afterAutospacing="0" w:line="360" w:lineRule="auto"/>
        <w:ind w:firstLine="360"/>
        <w:jc w:val="both"/>
        <w:divId w:val="1551653280"/>
        <w:rPr>
          <w:rFonts w:ascii="Times New Roman" w:hAnsi="Times New Roman" w:cs="Times New Roman"/>
          <w:sz w:val="21"/>
          <w:szCs w:val="21"/>
        </w:rPr>
      </w:pPr>
      <w:r>
        <w:rPr>
          <w:rFonts w:cs="Times New Roman" w:hint="eastAsia"/>
          <w:sz w:val="18"/>
          <w:szCs w:val="18"/>
        </w:rPr>
        <w:t>公司通过同一控制下企业合并取得的子公司，在编制合并当期财务报表时，视同被合并子公司在公司最终控制方对其实施控制时纳入合并范围，并对合并财务报表的期初数以及前期比较报表进行相应调整。</w:t>
      </w:r>
    </w:p>
    <w:p w:rsidR="00CB63CD" w:rsidRDefault="00CB63CD">
      <w:pPr>
        <w:pStyle w:val="a3"/>
        <w:spacing w:before="0" w:beforeAutospacing="0" w:after="0" w:afterAutospacing="0" w:line="360" w:lineRule="auto"/>
        <w:ind w:firstLine="360"/>
        <w:jc w:val="both"/>
        <w:divId w:val="1551653280"/>
        <w:rPr>
          <w:rFonts w:ascii="Times New Roman" w:hAnsi="Times New Roman" w:cs="Times New Roman"/>
          <w:sz w:val="21"/>
          <w:szCs w:val="21"/>
        </w:rPr>
      </w:pPr>
      <w:r>
        <w:rPr>
          <w:rFonts w:cs="Times New Roman" w:hint="eastAsia"/>
          <w:sz w:val="18"/>
          <w:szCs w:val="18"/>
        </w:rPr>
        <w:t>公司通过非同一控制下企业合并取得的子公司，在编制合并当期财务报表时，以购买日确定的各项可辨认资产、负债的公允价值为基础对子公司的财务报表进行调整，并自购买日起将被合并子公司纳入合并范围。</w:t>
      </w:r>
    </w:p>
    <w:p w:rsidR="00CB63CD" w:rsidRDefault="00CB63CD">
      <w:pPr>
        <w:pStyle w:val="a3"/>
        <w:spacing w:before="0" w:beforeAutospacing="0" w:after="0" w:afterAutospacing="0" w:line="360" w:lineRule="auto"/>
        <w:ind w:firstLine="360"/>
        <w:jc w:val="both"/>
        <w:divId w:val="1551653280"/>
        <w:rPr>
          <w:rFonts w:ascii="Times New Roman" w:hAnsi="Times New Roman" w:cs="Times New Roman"/>
          <w:sz w:val="21"/>
          <w:szCs w:val="21"/>
        </w:rPr>
      </w:pPr>
      <w:r>
        <w:rPr>
          <w:rFonts w:cs="Times New Roman" w:hint="eastAsia"/>
          <w:sz w:val="18"/>
          <w:szCs w:val="18"/>
        </w:rPr>
        <w:t>子公司所采用的会计期间或会计政策与公司不一致时，在编制合并财务报表时按公司的会计期间或会计政策对子公司的财务报表进行必要的调整。合并范围内企业之间所有重大交易、余额以及未实现损益在编制合并财务报表时予以抵消。内部交易发生的未实现损失，有证据表明该损失是相关资产减值损失的，则不予抵消。</w:t>
      </w:r>
    </w:p>
    <w:p w:rsidR="00CB63CD" w:rsidRDefault="00CB63CD">
      <w:pPr>
        <w:pStyle w:val="a3"/>
        <w:spacing w:before="0" w:beforeAutospacing="0" w:after="0" w:afterAutospacing="0" w:line="360" w:lineRule="auto"/>
        <w:ind w:firstLine="360"/>
        <w:jc w:val="both"/>
        <w:divId w:val="1551653280"/>
        <w:rPr>
          <w:rFonts w:ascii="Times New Roman" w:hAnsi="Times New Roman" w:cs="Times New Roman"/>
          <w:sz w:val="21"/>
          <w:szCs w:val="21"/>
        </w:rPr>
      </w:pPr>
      <w:r>
        <w:rPr>
          <w:rFonts w:cs="Times New Roman" w:hint="eastAsia"/>
          <w:sz w:val="18"/>
          <w:szCs w:val="18"/>
        </w:rPr>
        <w:t>子公司少数股东应占的权益和损益分别在合并资产负债表中股东权益项目下和合并利润表中净利润项目下单独列示。</w:t>
      </w:r>
    </w:p>
    <w:p w:rsidR="00CB63CD" w:rsidRDefault="00CB63CD">
      <w:pPr>
        <w:pStyle w:val="a3"/>
        <w:spacing w:before="0" w:beforeAutospacing="0" w:after="0" w:afterAutospacing="0" w:line="360" w:lineRule="auto"/>
        <w:ind w:firstLine="360"/>
        <w:jc w:val="both"/>
        <w:divId w:val="1551653280"/>
        <w:rPr>
          <w:rFonts w:ascii="Times New Roman" w:hAnsi="Times New Roman" w:cs="Times New Roman"/>
          <w:sz w:val="21"/>
          <w:szCs w:val="21"/>
        </w:rPr>
      </w:pPr>
      <w:r>
        <w:rPr>
          <w:rFonts w:cs="Times New Roman" w:hint="eastAsia"/>
          <w:sz w:val="18"/>
          <w:szCs w:val="18"/>
        </w:rPr>
        <w:t>子公司少数股东分担的当期亏损超过了少数股东在该子公司期初所有者权益中所享有的份额的，其余额应当冲减少数股东权益。</w:t>
      </w:r>
    </w:p>
    <w:p w:rsidR="00CB63CD" w:rsidRDefault="00CB63CD">
      <w:pPr>
        <w:pStyle w:val="a3"/>
        <w:spacing w:before="0" w:beforeAutospacing="0" w:after="0" w:afterAutospacing="0" w:line="360" w:lineRule="auto"/>
        <w:ind w:firstLine="360"/>
        <w:jc w:val="both"/>
        <w:divId w:val="1551653280"/>
        <w:rPr>
          <w:rFonts w:ascii="Times New Roman" w:hAnsi="Times New Roman" w:cs="Times New Roman"/>
          <w:sz w:val="21"/>
          <w:szCs w:val="21"/>
        </w:rPr>
      </w:pPr>
      <w:r>
        <w:rPr>
          <w:rFonts w:cs="Times New Roman" w:hint="eastAsia"/>
          <w:sz w:val="18"/>
          <w:szCs w:val="18"/>
        </w:rPr>
        <w:t>因处置部分股权投资或其他原因丧失了对原有子公司控制权的，对于剩余股权，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同时冲减商誉。与原有子公司股权投资相关的其他综合收益、其他所有者权益变动，在丧失控制权时转为当期投资收益，由于被投资方重新计量设定受益计划净负债或净资产变动而产生的其他综合收益除外。</w:t>
      </w:r>
    </w:p>
    <w:p w:rsidR="00CB63CD" w:rsidRDefault="00CB63CD">
      <w:pPr>
        <w:pStyle w:val="a3"/>
        <w:spacing w:before="0" w:beforeAutospacing="0" w:after="0" w:afterAutospacing="0" w:line="360" w:lineRule="auto"/>
        <w:ind w:firstLine="360"/>
        <w:jc w:val="both"/>
        <w:divId w:val="1551653280"/>
        <w:rPr>
          <w:rFonts w:ascii="Times New Roman" w:hAnsi="Times New Roman" w:cs="Times New Roman"/>
          <w:sz w:val="21"/>
          <w:szCs w:val="21"/>
        </w:rPr>
      </w:pPr>
      <w:r>
        <w:rPr>
          <w:rFonts w:cs="Times New Roman" w:hint="eastAsia"/>
          <w:sz w:val="18"/>
          <w:szCs w:val="18"/>
        </w:rPr>
        <w:lastRenderedPageBreak/>
        <w:t>通过多次交易分步处置对子公司股权投资直至丧失控制权的，需考虑各项交易是否构成一揽子交易，处置对子公司股权投资的各项交易的条款、条件以及经济影响符合以下一种或多种情况，表明应将多次交易事项作为一揽子交易进行会计处理：（1）这些交易是同时或者在考虑了彼此影响的情况下订立的；（2）这些交易整体才能达成一项完整的商业结果；（3）一项交易的发生取决于其他至少一项交易的发生；（4）一项交易单独看是不经济的，但是和其他交易一并考虑时是经济的。</w:t>
      </w:r>
    </w:p>
    <w:p w:rsidR="00CB63CD" w:rsidRDefault="00CB63CD">
      <w:pPr>
        <w:pStyle w:val="a3"/>
        <w:spacing w:before="0" w:beforeAutospacing="0" w:after="0" w:afterAutospacing="0" w:line="360" w:lineRule="auto"/>
        <w:ind w:firstLine="360"/>
        <w:jc w:val="both"/>
        <w:divId w:val="1551653280"/>
        <w:rPr>
          <w:rFonts w:ascii="Times New Roman" w:hAnsi="Times New Roman" w:cs="Times New Roman"/>
          <w:sz w:val="21"/>
          <w:szCs w:val="21"/>
        </w:rPr>
      </w:pPr>
      <w:r>
        <w:rPr>
          <w:rFonts w:cs="Times New Roman" w:hint="eastAsia"/>
          <w:sz w:val="18"/>
          <w:szCs w:val="18"/>
        </w:rPr>
        <w:t>不属于一揽子交易的，对其中每一项交易分别按照前述进行会计处理；若各项交易属于一揽子交易的，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p w:rsidR="00F068AD" w:rsidRDefault="00CB63CD">
      <w:pPr>
        <w:pStyle w:val="3"/>
        <w:spacing w:line="280" w:lineRule="exact"/>
        <w:jc w:val="left"/>
        <w:rPr>
          <w:rFonts w:ascii="宋体" w:hAnsi="宋体" w:cs="宋体"/>
          <w:b/>
          <w:bCs/>
        </w:rPr>
      </w:pPr>
      <w:bookmarkStart w:id="108" w:name="_Toc988997"/>
      <w:r>
        <w:rPr>
          <w:rFonts w:ascii="宋体" w:hAnsi="宋体" w:cs="宋体"/>
          <w:b/>
          <w:bCs/>
        </w:rPr>
        <w:t>7、合营安排分类及共同经营会计处理方法</w:t>
      </w:r>
      <w:bookmarkEnd w:id="108"/>
    </w:p>
    <w:p w:rsidR="00CB63CD" w:rsidRDefault="00CB63CD">
      <w:pPr>
        <w:pStyle w:val="a3"/>
        <w:spacing w:before="0" w:beforeAutospacing="0" w:after="0" w:afterAutospacing="0" w:line="360" w:lineRule="auto"/>
        <w:ind w:firstLine="360"/>
        <w:jc w:val="both"/>
        <w:divId w:val="1950160286"/>
        <w:rPr>
          <w:rFonts w:ascii="Times New Roman" w:hAnsi="Times New Roman" w:cs="Times New Roman"/>
          <w:sz w:val="21"/>
          <w:szCs w:val="21"/>
        </w:rPr>
      </w:pPr>
      <w:r>
        <w:rPr>
          <w:rFonts w:cs="Times New Roman" w:hint="eastAsia"/>
          <w:sz w:val="18"/>
          <w:szCs w:val="18"/>
        </w:rPr>
        <w:t>合营安排分为共同经营和合营企业。共同经营，是指合营方享有该安排相关资产且承担该安排相关负债的合营安排。合营企业，是指合营方仅对该安排的净资产享有权利的合营安排。</w:t>
      </w:r>
    </w:p>
    <w:p w:rsidR="00CB63CD" w:rsidRDefault="00CB63CD">
      <w:pPr>
        <w:pStyle w:val="a3"/>
        <w:spacing w:before="0" w:beforeAutospacing="0" w:after="0" w:afterAutospacing="0" w:line="360" w:lineRule="auto"/>
        <w:ind w:firstLine="360"/>
        <w:jc w:val="both"/>
        <w:divId w:val="1950160286"/>
        <w:rPr>
          <w:rFonts w:ascii="Times New Roman" w:hAnsi="Times New Roman" w:cs="Times New Roman"/>
          <w:sz w:val="21"/>
          <w:szCs w:val="21"/>
        </w:rPr>
      </w:pPr>
      <w:r>
        <w:rPr>
          <w:rFonts w:cs="Times New Roman" w:hint="eastAsia"/>
          <w:sz w:val="18"/>
          <w:szCs w:val="18"/>
        </w:rPr>
        <w:t>共同经营的合营方应当确认其与共同经营中利益份额相关的下列项目，并按照相关企业会计准则的规定进行会计处理：（一）确认单独所持有的资产，以及按其份额确认共同持有的资产；（二）确认单独所承担的负债，以及按其份额确认共同承担的负债；（三）确认出售其享有的共同经营 产出份额所产生的收入；（四）按其份额确认共同经营因出售产出所产生的收入；（五）确认单独所发生的费用，以及按其份额确认共同经营发生的费用。</w:t>
      </w:r>
    </w:p>
    <w:p w:rsidR="00CB63CD" w:rsidRDefault="00CB63CD">
      <w:pPr>
        <w:pStyle w:val="a3"/>
        <w:spacing w:before="0" w:beforeAutospacing="0" w:after="0" w:afterAutospacing="0" w:line="360" w:lineRule="auto"/>
        <w:ind w:firstLine="360"/>
        <w:jc w:val="both"/>
        <w:divId w:val="1950160286"/>
        <w:rPr>
          <w:rFonts w:ascii="Times New Roman" w:hAnsi="Times New Roman" w:cs="Times New Roman"/>
          <w:sz w:val="21"/>
          <w:szCs w:val="21"/>
        </w:rPr>
      </w:pPr>
      <w:r>
        <w:rPr>
          <w:rFonts w:cs="Times New Roman" w:hint="eastAsia"/>
          <w:sz w:val="18"/>
          <w:szCs w:val="18"/>
        </w:rPr>
        <w:t>合营方向共同经营投出或出售资产等（该资产构成业务的除外），在该资产等由共同经营出售给第三方之前，应当仅确认因该交易产生的损益中 归属于共同经营其他参与方的部分。投出或出售的资产发生符合《企业会计准则第 8 号——资产减值》等规定的资产减值损失的，合营方应当全额确认该损失。</w:t>
      </w:r>
    </w:p>
    <w:p w:rsidR="00CB63CD" w:rsidRDefault="00CB63CD">
      <w:pPr>
        <w:pStyle w:val="a3"/>
        <w:spacing w:before="0" w:beforeAutospacing="0" w:after="0" w:afterAutospacing="0" w:line="360" w:lineRule="auto"/>
        <w:ind w:firstLine="360"/>
        <w:jc w:val="both"/>
        <w:divId w:val="1950160286"/>
        <w:rPr>
          <w:rFonts w:ascii="Times New Roman" w:hAnsi="Times New Roman" w:cs="Times New Roman"/>
          <w:sz w:val="21"/>
          <w:szCs w:val="21"/>
        </w:rPr>
      </w:pPr>
      <w:r>
        <w:rPr>
          <w:rFonts w:cs="Times New Roman" w:hint="eastAsia"/>
          <w:sz w:val="18"/>
          <w:szCs w:val="18"/>
        </w:rPr>
        <w:t>合营方自共同经营购买资产等（该资产构成业务的除外），在将该资产等出售给第三方之前，应当仅确认因该交易产生的损益中归属于共同经营其他参与方的部分。购入的资产发生符合《企业会计准则第 8 号——资产减值》等规定的资产减值损失的，合营方应当按其承担的份额确认该部分损失。</w:t>
      </w:r>
    </w:p>
    <w:p w:rsidR="00CB63CD" w:rsidRDefault="00CB63CD">
      <w:pPr>
        <w:pStyle w:val="a3"/>
        <w:spacing w:before="0" w:beforeAutospacing="0" w:after="0" w:afterAutospacing="0" w:line="360" w:lineRule="auto"/>
        <w:ind w:firstLine="360"/>
        <w:jc w:val="both"/>
        <w:divId w:val="1950160286"/>
        <w:rPr>
          <w:rFonts w:ascii="Times New Roman" w:hAnsi="Times New Roman" w:cs="Times New Roman"/>
          <w:sz w:val="21"/>
          <w:szCs w:val="21"/>
        </w:rPr>
      </w:pPr>
      <w:r>
        <w:rPr>
          <w:rFonts w:cs="Times New Roman" w:hint="eastAsia"/>
          <w:sz w:val="18"/>
          <w:szCs w:val="18"/>
        </w:rPr>
        <w:t>对共同经营不享有共同控制的参与方，如果享有该共同经营相关资产且承担该共同经营相关负债的，应当按照前述规定进行会计处理。</w:t>
      </w:r>
    </w:p>
    <w:p w:rsidR="00F068AD" w:rsidRDefault="00CB63CD">
      <w:pPr>
        <w:pStyle w:val="3"/>
        <w:spacing w:line="280" w:lineRule="exact"/>
        <w:jc w:val="left"/>
        <w:rPr>
          <w:rFonts w:ascii="宋体" w:hAnsi="宋体" w:cs="宋体"/>
          <w:b/>
          <w:bCs/>
        </w:rPr>
      </w:pPr>
      <w:bookmarkStart w:id="109" w:name="_Toc988998"/>
      <w:r>
        <w:rPr>
          <w:rFonts w:ascii="宋体" w:hAnsi="宋体" w:cs="宋体"/>
          <w:b/>
          <w:bCs/>
        </w:rPr>
        <w:t>8、现金及现金等价物的确定标准</w:t>
      </w:r>
      <w:bookmarkEnd w:id="109"/>
    </w:p>
    <w:p w:rsidR="00CB63CD" w:rsidRDefault="00CB63CD">
      <w:pPr>
        <w:pStyle w:val="a3"/>
        <w:spacing w:before="0" w:beforeAutospacing="0" w:after="0" w:afterAutospacing="0" w:line="360" w:lineRule="auto"/>
        <w:ind w:firstLine="360"/>
        <w:jc w:val="both"/>
        <w:divId w:val="1805195382"/>
        <w:rPr>
          <w:rFonts w:ascii="Times New Roman" w:hAnsi="Times New Roman" w:cs="Times New Roman"/>
          <w:sz w:val="21"/>
          <w:szCs w:val="21"/>
        </w:rPr>
      </w:pPr>
      <w:r>
        <w:rPr>
          <w:rFonts w:cs="Times New Roman" w:hint="eastAsia"/>
          <w:sz w:val="18"/>
          <w:szCs w:val="18"/>
        </w:rPr>
        <w:t>现金是指库存现金及可以随时用于支付的存款。现金等价物是指持有的期限短、流动性强、易于转换为已知金额现金、价值变动风险很小的投资。</w:t>
      </w:r>
    </w:p>
    <w:p w:rsidR="00F068AD" w:rsidRDefault="00CB63CD">
      <w:pPr>
        <w:pStyle w:val="3"/>
        <w:spacing w:line="280" w:lineRule="exact"/>
        <w:jc w:val="left"/>
        <w:rPr>
          <w:rFonts w:ascii="宋体" w:hAnsi="宋体" w:cs="宋体"/>
          <w:b/>
          <w:bCs/>
        </w:rPr>
      </w:pPr>
      <w:bookmarkStart w:id="110" w:name="_Toc988999"/>
      <w:r>
        <w:rPr>
          <w:rFonts w:ascii="宋体" w:hAnsi="宋体" w:cs="宋体"/>
          <w:b/>
          <w:bCs/>
        </w:rPr>
        <w:lastRenderedPageBreak/>
        <w:t>9、外币业务和外币报表折算</w:t>
      </w:r>
      <w:bookmarkEnd w:id="110"/>
    </w:p>
    <w:p w:rsidR="00CB63CD" w:rsidRDefault="00CB63CD">
      <w:pPr>
        <w:pStyle w:val="a3"/>
        <w:spacing w:before="0" w:beforeAutospacing="0" w:after="0" w:afterAutospacing="0" w:line="360" w:lineRule="auto"/>
        <w:ind w:firstLine="360"/>
        <w:jc w:val="both"/>
        <w:divId w:val="1934166629"/>
        <w:rPr>
          <w:rFonts w:ascii="Times New Roman" w:hAnsi="Times New Roman" w:cs="Times New Roman"/>
          <w:sz w:val="21"/>
          <w:szCs w:val="21"/>
        </w:rPr>
      </w:pPr>
      <w:r>
        <w:rPr>
          <w:rFonts w:cs="Times New Roman" w:hint="eastAsia"/>
          <w:sz w:val="18"/>
          <w:szCs w:val="18"/>
        </w:rPr>
        <w:t>（1）外币交易的会计处理</w:t>
      </w:r>
    </w:p>
    <w:p w:rsidR="00CB63CD" w:rsidRDefault="00CB63CD">
      <w:pPr>
        <w:pStyle w:val="a3"/>
        <w:spacing w:before="0" w:beforeAutospacing="0" w:after="0" w:afterAutospacing="0" w:line="360" w:lineRule="auto"/>
        <w:ind w:firstLine="360"/>
        <w:jc w:val="both"/>
        <w:divId w:val="1934166629"/>
        <w:rPr>
          <w:rFonts w:ascii="Times New Roman" w:hAnsi="Times New Roman" w:cs="Times New Roman"/>
          <w:sz w:val="21"/>
          <w:szCs w:val="21"/>
        </w:rPr>
      </w:pPr>
      <w:r>
        <w:rPr>
          <w:rFonts w:cs="Times New Roman" w:hint="eastAsia"/>
          <w:sz w:val="18"/>
          <w:szCs w:val="18"/>
        </w:rPr>
        <w:t>发生外币交易时，采用交易发生日的即期汇率将外币金额折算为人民币金额。</w:t>
      </w:r>
    </w:p>
    <w:p w:rsidR="00CB63CD" w:rsidRDefault="00CB63CD">
      <w:pPr>
        <w:pStyle w:val="a3"/>
        <w:spacing w:before="0" w:beforeAutospacing="0" w:after="0" w:afterAutospacing="0" w:line="360" w:lineRule="auto"/>
        <w:ind w:firstLine="360"/>
        <w:jc w:val="both"/>
        <w:divId w:val="1934166629"/>
        <w:rPr>
          <w:rFonts w:ascii="Times New Roman" w:hAnsi="Times New Roman" w:cs="Times New Roman"/>
          <w:sz w:val="21"/>
          <w:szCs w:val="21"/>
        </w:rPr>
      </w:pPr>
      <w:r>
        <w:rPr>
          <w:rFonts w:cs="Times New Roman" w:hint="eastAsia"/>
          <w:sz w:val="18"/>
          <w:szCs w:val="18"/>
        </w:rPr>
        <w:t>于资产负债表日，外币货币性项目采用资产负债表日的即期汇率折算为人民币，所产生的折算差额，除根据借款费用核算方法应予资本化的，计入当期损益。以历史成本计量的外币非货币性项目，于资产负债表日仍采用交易发生日的即期汇率折算。</w:t>
      </w:r>
    </w:p>
    <w:p w:rsidR="00CB63CD" w:rsidRDefault="00CB63CD">
      <w:pPr>
        <w:pStyle w:val="a3"/>
        <w:spacing w:before="0" w:beforeAutospacing="0" w:after="0" w:afterAutospacing="0" w:line="360" w:lineRule="auto"/>
        <w:ind w:firstLine="360"/>
        <w:jc w:val="both"/>
        <w:divId w:val="1934166629"/>
        <w:rPr>
          <w:rFonts w:ascii="Times New Roman" w:hAnsi="Times New Roman" w:cs="Times New Roman"/>
          <w:sz w:val="21"/>
          <w:szCs w:val="21"/>
        </w:rPr>
      </w:pPr>
      <w:r>
        <w:rPr>
          <w:rFonts w:cs="Times New Roman" w:hint="eastAsia"/>
          <w:sz w:val="18"/>
          <w:szCs w:val="18"/>
        </w:rPr>
        <w:t>（2）外币财务报表的折算</w:t>
      </w:r>
    </w:p>
    <w:p w:rsidR="00CB63CD" w:rsidRDefault="00CB63CD">
      <w:pPr>
        <w:pStyle w:val="a3"/>
        <w:spacing w:before="0" w:beforeAutospacing="0" w:after="0" w:afterAutospacing="0" w:line="360" w:lineRule="auto"/>
        <w:ind w:firstLine="360"/>
        <w:jc w:val="both"/>
        <w:divId w:val="1934166629"/>
        <w:rPr>
          <w:rFonts w:ascii="Times New Roman" w:hAnsi="Times New Roman" w:cs="Times New Roman"/>
          <w:sz w:val="21"/>
          <w:szCs w:val="21"/>
        </w:rPr>
      </w:pPr>
      <w:r>
        <w:rPr>
          <w:rFonts w:cs="Times New Roman" w:hint="eastAsia"/>
          <w:sz w:val="18"/>
          <w:szCs w:val="18"/>
        </w:rPr>
        <w:t>境外经营的资产负债表中的资产和负债项目，采用资产负债表日的即期汇率折算，股东权益项目除未分配利润项目外，其他项目采用发生时的即期汇率折算。境外经营的利润表中的收入和费用项目，采用年平均汇率折算。上述折算产生的外币报表折算差额，在股东权益中单独列示。</w:t>
      </w:r>
    </w:p>
    <w:p w:rsidR="00F068AD" w:rsidRDefault="00CB63CD">
      <w:pPr>
        <w:pStyle w:val="3"/>
        <w:spacing w:line="280" w:lineRule="exact"/>
        <w:jc w:val="left"/>
        <w:rPr>
          <w:rFonts w:ascii="宋体" w:hAnsi="宋体" w:cs="宋体"/>
          <w:b/>
          <w:bCs/>
        </w:rPr>
      </w:pPr>
      <w:bookmarkStart w:id="111" w:name="_Toc989000"/>
      <w:r>
        <w:rPr>
          <w:rFonts w:ascii="宋体" w:hAnsi="宋体" w:cs="宋体"/>
          <w:b/>
          <w:bCs/>
        </w:rPr>
        <w:t>10、金融工具</w:t>
      </w:r>
      <w:bookmarkEnd w:id="111"/>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（1）金融工具的分类</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①本公司根据所管理金融资产的业务模式和金融资产的合同现金流量特征，将金融资产划分为以下三类：</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A、以摊余成本计量的金融资产。</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B、以公允价值计量且其变动计入其他综合收益的金融资产。</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C、以公允价值计量且其变动计入当期损益的金融资产。</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本公司只有在改变金融资产的业务模式时，才对所有受影响的相关金融资产进行重分类。</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②金融负债划分为以下两类：</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A、以公允价值计量且其变动计入当期损益的金融负债。</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B、以摊余成本计量的金融负债。</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C、其他金融负债</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（2）金融工具的确认依据</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①以摊余成本计量的金融资产</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本公司金融资产同时符合下列条件的，分类为以摊余成本计量的金融资产：</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A、管理该金融资产的业务模式是以收取合同现金流量为目标。</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B、该金融资产的合同条款规定，在特定日期产生的现金流量，仅为对本金和以未偿付本金金额为基础的利息的支付。</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②以公允价值计量且其变动计入其他综合收益的金融资产</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本公司金融资产同时符合下列条件的，分类为以公允价值计量且其变动计入其他综合收益的金融资产：</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lastRenderedPageBreak/>
        <w:t>A、管理该金融资产的业务模式既以收取合同现金流量为目标又以出售该金融资产为目标。</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B、该金融资产的合同条款规定，在特定日期产生的现金流量，仅为对本金和以未偿付本金金额为基础的利息的支付。</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在初始确认时，公司可以将非交易性权益工具投资指定为以公允价值计量且其变动计入其他综合收益的金融资产，列报为其他权益工具投资，并在满足条件时确认股利收入（该指定一经做出，不得撤销）。该被指定的权益工具投资不属于以下情况：取得该金融资产的目的主要是为了近期出售；初始确认时属于集中管理的可辨认金融资产工具组合的一部分，且有客观证据表明近期实际存在短期获利模式；属于衍生工具（符合财务担保合同定义的以及被指定为有效套期工具的衍生工具除外）。</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③以公允价值计量且其变动计入当期损益的金融资产</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本公司将除以摊余成本计量的金融资产和以公允价值计量且其变动计入其他综合收益的金融资产之外的金融资产，分类为以公允价值计量且其变动计入当期损益的金融资产。</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公司在非同一控制下的企业合并中确认的或有对价构成金融资产的，该金融资产分类为以公允价值计量且其变动计入当期损益的金融资产。</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在初始确认时，如果能够消除或显著减少会计错配，可以将金融资产指定为以公允价值计量且其变动计入当期损益的金融资产（该指定一经做出，不得撤销）。</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混合合同包含一项或多项嵌入衍生工具，且其主合同不属于以上金融资产的，公司可以将其整体指定为以公允价值计量且其变动计入当期损益的金融工具。但下列情况除外：</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A、嵌入衍生工具不会对混合合同的现金流量产生重大改变。</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B、在初次确定类似的混合合同是否需要分拆时，几乎不需分析就能明确其包含的嵌入衍生工具不应分拆。如嵌入贷款的提前还款权，允许持有人以接近摊余成本的金额提前偿还贷款，该提前还款权不需要分拆。</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④以公允价值计量且其变动计入当期损益的金融负债</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本类中包括交易性金融负债（含属于金融负债的衍生工具）和指定为以公允价值计量且其变动计入当期损益的金融负债。</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在非同一控制下的企业合并中，公司作为购买方确认的或有对价形成金融负债的，该金融负债按照以公允价值计量且其变动计入当期损益进行会计处理。</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在初始确认时，为了提供更相关的会计信息，本公司将满足下列条件之一的金融负债指定为以公允价值计量且其变动计入当期损益的金融负债（该指定一经做出，不得撤销）：</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A、能够消除或显著减少会计错配。</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B、根据正式书面文件载明的企业风险管理或投资策略，以公允价值为基础对金融负债组合或金融资产和金融负债组合进行管理和业绩评价，并在企业内部以此为基础向关键管理人员报告。</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⑤以摊余成本计量的金融负债</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lastRenderedPageBreak/>
        <w:t>除下列各项外，公司将金融负债分类为以摊余成本计量的金融负债：</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A、以公允价值计量且其变动计入当期损益的金融负债。</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B、金融资产转移不符合终止确认条件或继续涉入被转移金融资产所形成的金融负债。</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C、不属于本条前两类情形的财务担保合同，以及不属于本条A情形的以低于市场利率贷款的贷款承诺。</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（3）金融工具的初始计量</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本公司金融资产或金融负债在初始确认按照公允价值计量。对于以公允价值计量且其变动计入当期损益的金融资产和金融负债，相关交易费用直接计入当期损益；对于其他类别的金融资产或金融负债，相关交易费用计入初始确认金额。</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公允价值通常为相关金融资产或金融负债的交易价格。金融资产或金融负债公允价值与交易价格存在差异的，区别下列情况进行处理：</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在初始确认时，金融资产或金融负债的公允价值依据相同资产或负债在活跃市场上的报价或者以仅使用可观察市场数据的估值技术确定的，将该公允价值与交易价格之间的差额确认为一项利得或损失。</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在初始确认时，金融资产或金融负债的公允价值以其他方式确定的，将该公允价值与交易价格之间的差额递延。初始确认后，根据某一因素在相应会计期间的变动程度将该递延差额确认为相应会计期间的利得或损失。该因素应当仅限于市场参与者对该金融工具定价时将予考虑的因素，包括时间等。</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（4）金融工具的后续计量</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初始确认后，对不同类别的金融资产，分别以摊余成本、以公允价值计量且其变动计入其他综合收益或以公允价值计量且其变动计入当期损益进行后续计量。</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金融资产或金融负债的摊余成本，以该金融资产或金融负债的初始确认金额经下列调整后的结果确定：</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①扣除已偿还的本金。</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②加上或减去采用实际利率法将该初始确认金额与到期日金额之间的差额进行摊销形成的累计摊销额。</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③扣除累计计提的损失准备（仅适用于金融资产）。</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除金融资产外，以摊余成本计量且不属于任何套期关系一部分的金融负债所产生的利得或损失，在终止确认时计入当期损益，或按照实际利率法摊销时计入相关期间损益。</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本公司在金融负债初始确认，依据准则规定将其指定为以公允价值计量且其变动计入当期损益时，由企业自身信用风险变动引起的该金融负债公允价值的变动金额计入其他综合收益，其他公允价值变动计入当期损益。但如果该项会计处理造成或扩大损益中的会计错配的情况下，则将该金融负债的全部利得或损失（包括企业自身信用风险变动的影响金额）计入当期损益。</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（5）金融工具的终止确认</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①金融资产满足下列条件之一的，应当终止确认：</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A、收取该金融资产现金流量的合同权利终止。</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lastRenderedPageBreak/>
        <w:t>B、该金融资产已转移，且该转移满足《企业会计准则第23号——金融资产转移》关于金融资产终止确认的规定。本准则所称金融资产或金融负债终止确认，是指企业将之前确认的金融资产或金融负债从其资产负债表中予以转出。</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②金融负债终止确认条件</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金融负债（或其一部分）的现时义务已经解除的，则终止确认该金融负债（或该部分金融负债）。本公司与借出方之间签订协议，以承担新金融负债方式替换原金融负债，且新金融负债与原金融负债的合同条款实质上不同的，则终止确认原金融负债，同时确认一项新金融负债。</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对原金融负债（或其一部分）的合同条款做出实质性修改的，则终止确认原金融负债，同时按照修改后的条款确认一项新金融负债。</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金融负债（或其一部分）终止确认的，则将其账面价值与支付的对价（包括转出的非现金资产或承担的负债）之间的差额，计入当期损益。由企业自身信用风险变动引起的金融负债公允价值的变动金额原计入其他综合收益的，在该部分金融负债终止确认时，之前计入其他综合收益的累计利得或损失从其他综合收益中转出，计入留存收益。</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本公司回购金融负债一部分的，按照继续确认部分和终止确认部分在回购日各自的公允价值占整体公允价值的比例，对该金融负债整体的账面价值进行分配。分配给终止确认部分的账面价值与支付的对价（包括转出的非现金资产或承担的负债）之间的差额，应当计入当期损益。</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（6）金融资产转移的确认依据和计量方法</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本公司在发生金融资产转移时，评估其保留金融资产所有权上的风险和报酬的程度，并分别下列情形处理：</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①转移了金融资产所有权上几乎所有风险和报酬的，则终止确认该金融资产，并将转移中产生或保留的权利和义务单独确认为资产或负债。</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②保留了金融资产所有权上几乎所有风险和报酬的，则继续确认该金融资产。</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③既没有转移也没有保留金融资产所有权上几乎所有风险和报酬的（即除本条①、②之外的其他情形），则根据其是否保留了对金融资产的控制，分别下列情形处理：</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A、未保留对该金融资产控制的，则终止确认该金融资产，并将转移中产生或保留的权利和义务单独确认为资产或负债。</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B、保留了对该金融资产控制的，则按照其继续涉入被转移金融资产的程度继续确认有关金融资产，并相应确认相关负债。继续涉入被转移金融资产的程度，是指本公司承担的被转移金融资产价值变动风险或报酬的程度。</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在判断金融资产转移是否满足上述金融资产终止确认条件时，采用实质重于形式的原则。公司将金融资产转移区分为金融资产整体转移和部分转移：</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①金融资产整体转移满足终止确认条件的，将下列两项金额的差额计入当期损益：</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A、被转移金融资产在终止确认日的账面价值。</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lastRenderedPageBreak/>
        <w:t>B、因转移金融资产而收到的对价，与原直接计入其他综合收益的公允价值变动累计额中对应终止确认部分的金额（涉及转移的金融资产为以公允价值计量且其变动计入其他综合收益的金融资产）之和。</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②金融资产部分转移且该被转移部分整体满足终止确认条件的，将转移前金融资产整体的账面价值，在终止确认部分和继续确认部分（在此种情形下，所保留的服务资产应当视同继续确认金融资产的一部分）之间，按照转移日各自的相对公允价值进行分摊，并将下列两项金额的差额计入当期损益：</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A、终止确认部分在终止确认日的账面价值。</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B、终止确认部分收到的对价，与原计入其他综合收益的公允价值变动累计额中对应终止确认部分的金额（涉及转移的金融资产为以公允价值计量且其变动计入其他综合收益的金融资产）之和。</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金融资产转移不满足终止确认条件的，继续确认该金融资产，所收到的对价确认为一项金融负债。</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（7）金融资产和金融负债公允价值的确定方法</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存在活跃市场的金融资产或金融负债，以活跃市场的报价确定其公允价值；活跃市场的报价包括易于且可定期从交易所、交易商、经纪人、行业集团、定价机构或监管机构等获得相关资产或负债的报价，且能代表在公平交易基础上实际并经常发生的市场交易。</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初始取得或衍生的金融资产或承担的金融负债，以市场交易价格作为确定其公允价值的基础。</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不存在活跃市场的金融资产或金融负债，采用估值技术确定其公允价值。在估值时，本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观察输入值。</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（8）金融工具（不含应收款项）减值准备计提</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①本公司以预期信用损失为基础，对以摊余成本计量的金融资产、以公允价值计量且其变动计入其他综合收益的债务工具投资、财务担保合同等计提减值准备并确认信用减值损失。预期信用损失，是指以发生违约的风险为权重的金融工具信用损失的加权平均值。信用损失，是指本公司按照原实际利率折现的、根据合同应收的所有合同现金流量与预期收取的所有现金流量之间的差额，及全部现金短缺的现值。</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②当对金融资产预期未来现金流量具有不利影响的一项或多项事件发生时，该金融资产成为已发生信用减值的金融资产。金融资产已发生信用减值的证据包括下列可观察信息：</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A、发行方或债务人发生重大财务困难；</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B、债务人违反合同，如偿付利息或本金违约或逾期等；</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C、债权人出于与债务人财务困难有关的经济或合同考虑，给予债务人在任何其他情况下都不会做出的让步；</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D、债务人很可能破产或进行其他财务重组；</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E、发行方或债务人财务困难导致该金融资产的活跃市场消失；</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lastRenderedPageBreak/>
        <w:t>F、以大幅折扣购买或源生一项金融资产，该折扣反映了发生信用损失的事实。</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金融资产发生信用减值，有可能是多个事件的共同作用所致，未必是可单独识别的事件所致。</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③对于购买或源生的已发生信用减值的金融资产，在资产负债表日仅将自初始确认后整个存续期内预期信用损失的累计变动确认为损失准备。在每个资产负债表日，将整个存续期内预期信用损失的变动金额作为减值损失或利得计入当期损益。即使该资产负债表日确定的整个存续期内预期信用损失小于初始确认时估计现金流量所反映的预期信用损失的金额，也将预期信用损失的有利变动确认为减值利得。</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④除本条③计提金融工具损失准备的情形以外，本公司在每个资产负债表日评估相关金融工具的信用风险自初始确认后是否已显著增加，并按照下列情形分别计量其损失准备、确认预期信用损失及其变动：</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A、如果该金融工具的信用风险自初始确认后已显著增加，则按照相当于该金融工具整个存续期内预期信用损失的金额计量其损失准备。无论公司评估信用损失的基础是单项金融工具还是金融工具组合，由此形成的损失准备的增加或转回金额，应当作为减值损失或利得计入当期损益。</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B、如果该金融工具的信用风险自初始确认后并未显著增加，则按照相当于该金融工具未来12个月内预期信用损失的金额计量其损失准备，无论公司评估信用损失的基础是单项金融工具还是金融工具组合，由此形成的损失准备的增加或转回金额，应当作为减值损失或利得计入当期损益。</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未来12个月内预期信用损失，是指因资产负债表日后12个月内（若金融工具的预计存续期少于12个月，则为预计存续期）可能发生的金融工具违约事件而导致的预期信用损失，是整个存续期预期信用损失的一部分。</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在进行相关评估时，公司考虑所有合理且有依据的信息，包括前瞻性信息。为确保自金融工具初始确认后信用风险显著增加即确认整个存续期预期信用损失，在一些情况下以组合为基础考虑评估信用风险是否显著增加。</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（9）金融资产及金融负债的抵销</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金融资产和金融负债在资产负债表内分别列示，没有相互抵销。但是，同时满足下列条件的，以相互抵销后的净额在资产负债表内列示：</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①本公司具有抵销已确认金额的法定权利，且该种法定权利是当前可执行的；</w:t>
      </w:r>
    </w:p>
    <w:p w:rsidR="00CB63CD" w:rsidRDefault="00CB63CD">
      <w:pPr>
        <w:pStyle w:val="a3"/>
        <w:spacing w:before="0" w:beforeAutospacing="0" w:after="0" w:afterAutospacing="0" w:line="360" w:lineRule="auto"/>
        <w:ind w:firstLine="360"/>
        <w:jc w:val="both"/>
        <w:divId w:val="1400136004"/>
        <w:rPr>
          <w:rFonts w:ascii="Times New Roman" w:hAnsi="Times New Roman" w:cs="Times New Roman"/>
          <w:sz w:val="21"/>
          <w:szCs w:val="21"/>
        </w:rPr>
      </w:pPr>
      <w:r>
        <w:rPr>
          <w:rFonts w:cs="Times New Roman" w:hint="eastAsia"/>
          <w:sz w:val="18"/>
          <w:szCs w:val="18"/>
        </w:rPr>
        <w:t>②本公司计划以净额结算，或同时变现该金融资产和清偿该金融负债。</w:t>
      </w:r>
    </w:p>
    <w:p w:rsidR="00F068AD" w:rsidRDefault="00CB63CD">
      <w:pPr>
        <w:pStyle w:val="3"/>
        <w:spacing w:line="280" w:lineRule="exact"/>
        <w:jc w:val="left"/>
        <w:rPr>
          <w:rFonts w:ascii="宋体" w:hAnsi="宋体" w:cs="宋体"/>
          <w:b/>
          <w:bCs/>
        </w:rPr>
      </w:pPr>
      <w:bookmarkStart w:id="112" w:name="_Toc989001"/>
      <w:r>
        <w:rPr>
          <w:rFonts w:ascii="宋体" w:hAnsi="宋体" w:cs="宋体"/>
          <w:b/>
          <w:bCs/>
        </w:rPr>
        <w:t>11、应收</w:t>
      </w:r>
      <w:bookmarkEnd w:id="112"/>
      <w:r w:rsidR="00C9693C">
        <w:rPr>
          <w:rFonts w:ascii="宋体" w:hAnsi="宋体" w:cs="宋体"/>
          <w:b/>
          <w:bCs/>
        </w:rPr>
        <w:t>款项</w:t>
      </w:r>
    </w:p>
    <w:p w:rsidR="00CB63CD" w:rsidRDefault="00CB63CD">
      <w:pPr>
        <w:pStyle w:val="a3"/>
        <w:spacing w:before="0" w:beforeAutospacing="0" w:after="0" w:afterAutospacing="0" w:line="360" w:lineRule="auto"/>
        <w:ind w:firstLine="360"/>
        <w:jc w:val="both"/>
        <w:divId w:val="1447194184"/>
        <w:rPr>
          <w:rFonts w:ascii="Times New Roman" w:hAnsi="Times New Roman" w:cs="Times New Roman"/>
          <w:sz w:val="21"/>
          <w:szCs w:val="21"/>
        </w:rPr>
      </w:pPr>
      <w:r>
        <w:rPr>
          <w:rFonts w:cs="Times New Roman" w:hint="eastAsia"/>
          <w:sz w:val="18"/>
          <w:szCs w:val="18"/>
        </w:rPr>
        <w:t>本公司应收款项主要包括应收票据、应收账款、应收款项融资、其他应收款、债权投资、其他债权投资和长期应收款。</w:t>
      </w:r>
    </w:p>
    <w:p w:rsidR="00CB63CD" w:rsidRDefault="00CB63CD">
      <w:pPr>
        <w:pStyle w:val="a3"/>
        <w:spacing w:before="0" w:beforeAutospacing="0" w:after="0" w:afterAutospacing="0" w:line="360" w:lineRule="auto"/>
        <w:ind w:firstLine="360"/>
        <w:jc w:val="both"/>
        <w:divId w:val="1447194184"/>
        <w:rPr>
          <w:rFonts w:ascii="Times New Roman" w:hAnsi="Times New Roman" w:cs="Times New Roman"/>
          <w:sz w:val="21"/>
          <w:szCs w:val="21"/>
        </w:rPr>
      </w:pPr>
      <w:r>
        <w:rPr>
          <w:rFonts w:cs="Times New Roman" w:hint="eastAsia"/>
          <w:sz w:val="18"/>
          <w:szCs w:val="18"/>
        </w:rPr>
        <w:t>本公司对于因销售产品或提供劳务而产生的应收款项及租赁应收款，无论是否存在重大融资成分，均按照整个存续期的预期信用损失计量损失准备。</w:t>
      </w:r>
    </w:p>
    <w:p w:rsidR="00CB63CD" w:rsidRDefault="00CB63CD">
      <w:pPr>
        <w:pStyle w:val="a3"/>
        <w:spacing w:before="0" w:beforeAutospacing="0" w:after="0" w:afterAutospacing="0" w:line="360" w:lineRule="auto"/>
        <w:ind w:firstLine="360"/>
        <w:jc w:val="both"/>
        <w:divId w:val="1447194184"/>
        <w:rPr>
          <w:rFonts w:ascii="Times New Roman" w:hAnsi="Times New Roman" w:cs="Times New Roman"/>
          <w:sz w:val="21"/>
          <w:szCs w:val="21"/>
        </w:rPr>
      </w:pPr>
      <w:r>
        <w:rPr>
          <w:rFonts w:cs="Times New Roman" w:hint="eastAsia"/>
          <w:sz w:val="18"/>
          <w:szCs w:val="18"/>
        </w:rPr>
        <w:lastRenderedPageBreak/>
        <w:t>对其他类别的应收款项，本公司在每个资产负债表日评估金融工具的信用风险自初始确认后是否已经显著增加，如果某项金融工具在资产负债表日确定的预计存续期内的违约概率显著高于在初始确认时确定的预计存续期内的违约概率，则表明该项金融工具的信用风险显著增加。</w:t>
      </w:r>
    </w:p>
    <w:p w:rsidR="00CB63CD" w:rsidRDefault="00CB63CD">
      <w:pPr>
        <w:pStyle w:val="a3"/>
        <w:spacing w:before="0" w:beforeAutospacing="0" w:after="0" w:afterAutospacing="0" w:line="360" w:lineRule="auto"/>
        <w:ind w:firstLine="360"/>
        <w:jc w:val="both"/>
        <w:divId w:val="1447194184"/>
        <w:rPr>
          <w:rFonts w:ascii="Times New Roman" w:hAnsi="Times New Roman" w:cs="Times New Roman"/>
          <w:sz w:val="21"/>
          <w:szCs w:val="21"/>
        </w:rPr>
      </w:pPr>
      <w:r>
        <w:rPr>
          <w:rFonts w:cs="Times New Roman" w:hint="eastAsia"/>
          <w:sz w:val="18"/>
          <w:szCs w:val="18"/>
        </w:rPr>
        <w:t>如果信用风险自初始确认后未显著增加，处于第一阶段，本公司按照未来12个月内预期信用损失的金额计量损失准备；如果信用风险自初始确认后已显著增加但尚未发生信用减值，处于第二阶段，本公司按照相当于整个存续期内预期信用损失的金额计量损失准备；应收款项自初始确认后已发生信用减值的，处于第三阶段，本公司按照整个存续期的预期信用损失计量损失准备。</w:t>
      </w:r>
    </w:p>
    <w:p w:rsidR="00CB63CD" w:rsidRDefault="00CB63CD">
      <w:pPr>
        <w:pStyle w:val="a3"/>
        <w:spacing w:before="0" w:beforeAutospacing="0" w:after="0" w:afterAutospacing="0" w:line="360" w:lineRule="auto"/>
        <w:ind w:firstLine="360"/>
        <w:jc w:val="both"/>
        <w:divId w:val="1447194184"/>
        <w:rPr>
          <w:rFonts w:ascii="Times New Roman" w:hAnsi="Times New Roman" w:cs="Times New Roman"/>
          <w:sz w:val="21"/>
          <w:szCs w:val="21"/>
        </w:rPr>
      </w:pPr>
      <w:r>
        <w:rPr>
          <w:rFonts w:cs="Times New Roman" w:hint="eastAsia"/>
          <w:sz w:val="18"/>
          <w:szCs w:val="18"/>
        </w:rPr>
        <w:t>对于在资产负债表日具有较低信用风险的应收款项，本公司假设其信用风险自初始确认后并未显著增加，按照未来12个月内的预期信用损失计量损失准备。</w:t>
      </w:r>
    </w:p>
    <w:p w:rsidR="00CB63CD" w:rsidRDefault="00CB63CD">
      <w:pPr>
        <w:pStyle w:val="a3"/>
        <w:spacing w:before="0" w:beforeAutospacing="0" w:after="0" w:afterAutospacing="0" w:line="360" w:lineRule="auto"/>
        <w:ind w:firstLine="360"/>
        <w:jc w:val="both"/>
        <w:divId w:val="1447194184"/>
        <w:rPr>
          <w:rFonts w:ascii="Times New Roman" w:hAnsi="Times New Roman" w:cs="Times New Roman"/>
          <w:sz w:val="21"/>
          <w:szCs w:val="21"/>
        </w:rPr>
      </w:pPr>
      <w:r>
        <w:rPr>
          <w:rFonts w:cs="Times New Roman" w:hint="eastAsia"/>
          <w:sz w:val="18"/>
          <w:szCs w:val="18"/>
        </w:rPr>
        <w:t>除单独评估信用风险的应收款项外，本公司根据信用风险特征将其他应收款项划分为若干组合，在组合基础上计算预期信用损失</w:t>
      </w:r>
    </w:p>
    <w:p w:rsidR="00CB63CD" w:rsidRDefault="00CB63CD">
      <w:pPr>
        <w:pStyle w:val="a3"/>
        <w:spacing w:before="0" w:beforeAutospacing="0" w:after="0" w:afterAutospacing="0" w:line="360" w:lineRule="auto"/>
        <w:ind w:firstLine="360"/>
        <w:jc w:val="both"/>
        <w:divId w:val="1447194184"/>
        <w:rPr>
          <w:rFonts w:ascii="Times New Roman" w:hAnsi="Times New Roman" w:cs="Times New Roman"/>
          <w:sz w:val="21"/>
          <w:szCs w:val="21"/>
        </w:rPr>
      </w:pPr>
      <w:r>
        <w:rPr>
          <w:rFonts w:cs="Times New Roman" w:hint="eastAsia"/>
          <w:sz w:val="18"/>
          <w:szCs w:val="18"/>
        </w:rPr>
        <w:t>（1）按单项计提坏账准备的应收款项</w:t>
      </w:r>
    </w:p>
    <w:tbl>
      <w:tblPr>
        <w:tblW w:w="0" w:type="auto"/>
        <w:tblCellMar>
          <w:left w:w="0" w:type="dxa"/>
          <w:right w:w="0" w:type="dxa"/>
        </w:tblCellMar>
        <w:tblLook w:val="04A0" w:firstRow="1" w:lastRow="0" w:firstColumn="1" w:lastColumn="0" w:noHBand="0" w:noVBand="1"/>
      </w:tblPr>
      <w:tblGrid>
        <w:gridCol w:w="3979"/>
        <w:gridCol w:w="5627"/>
      </w:tblGrid>
      <w:tr w:rsidR="00CB63CD" w:rsidTr="00C9693C">
        <w:trPr>
          <w:divId w:val="1447194184"/>
          <w:trHeight w:val="245"/>
        </w:trPr>
        <w:tc>
          <w:tcPr>
            <w:tcW w:w="39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单项计提坏账准备的理由</w:t>
            </w:r>
          </w:p>
        </w:tc>
        <w:tc>
          <w:tcPr>
            <w:tcW w:w="56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63CD" w:rsidRDefault="00CB63CD">
            <w:pPr>
              <w:pStyle w:val="a3"/>
              <w:spacing w:before="0" w:beforeAutospacing="0" w:after="0" w:afterAutospacing="0"/>
              <w:rPr>
                <w:rFonts w:ascii="Times New Roman" w:hAnsi="Times New Roman" w:cs="Times New Roman"/>
                <w:sz w:val="21"/>
                <w:szCs w:val="21"/>
              </w:rPr>
            </w:pPr>
            <w:r>
              <w:rPr>
                <w:rFonts w:cs="Times New Roman" w:hint="eastAsia"/>
                <w:color w:val="000000"/>
                <w:sz w:val="18"/>
                <w:szCs w:val="18"/>
              </w:rPr>
              <w:t>如有证据表明某单项应收款项的信用风险较大，则对该应收款项单独计提坏账准备。</w:t>
            </w:r>
          </w:p>
        </w:tc>
      </w:tr>
      <w:tr w:rsidR="00CB63CD" w:rsidTr="00C9693C">
        <w:trPr>
          <w:divId w:val="1447194184"/>
          <w:trHeight w:val="241"/>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坏账准备的计提方法</w:t>
            </w:r>
          </w:p>
        </w:tc>
        <w:tc>
          <w:tcPr>
            <w:tcW w:w="5627" w:type="dxa"/>
            <w:tcBorders>
              <w:top w:val="nil"/>
              <w:left w:val="nil"/>
              <w:bottom w:val="single" w:sz="8" w:space="0" w:color="auto"/>
              <w:right w:val="single" w:sz="8" w:space="0" w:color="auto"/>
            </w:tcBorders>
            <w:tcMar>
              <w:top w:w="0" w:type="dxa"/>
              <w:left w:w="108" w:type="dxa"/>
              <w:bottom w:w="0" w:type="dxa"/>
              <w:right w:w="108" w:type="dxa"/>
            </w:tcMar>
            <w:hideMark/>
          </w:tcPr>
          <w:p w:rsidR="00CB63CD" w:rsidRDefault="00CB63CD">
            <w:pPr>
              <w:pStyle w:val="a3"/>
              <w:spacing w:before="0" w:beforeAutospacing="0" w:after="0" w:afterAutospacing="0"/>
              <w:rPr>
                <w:rFonts w:ascii="Times New Roman" w:hAnsi="Times New Roman" w:cs="Times New Roman"/>
                <w:sz w:val="21"/>
                <w:szCs w:val="21"/>
              </w:rPr>
            </w:pPr>
            <w:r>
              <w:rPr>
                <w:rFonts w:cs="Times New Roman" w:hint="eastAsia"/>
                <w:color w:val="000000"/>
                <w:sz w:val="18"/>
                <w:szCs w:val="18"/>
              </w:rPr>
              <w:t>单独进行减值测试，按应收取的合同现金流量与预期收取的现金流量之间差额的现值计提坏账准备。</w:t>
            </w:r>
          </w:p>
        </w:tc>
      </w:tr>
    </w:tbl>
    <w:p w:rsidR="00CB63CD" w:rsidRDefault="00CB63CD">
      <w:pPr>
        <w:pStyle w:val="a3"/>
        <w:spacing w:before="0" w:beforeAutospacing="0" w:after="0" w:afterAutospacing="0" w:line="360" w:lineRule="auto"/>
        <w:ind w:firstLine="360"/>
        <w:divId w:val="1447194184"/>
        <w:rPr>
          <w:rFonts w:ascii="Times New Roman" w:hAnsi="Times New Roman" w:cs="Times New Roman"/>
          <w:sz w:val="21"/>
          <w:szCs w:val="21"/>
        </w:rPr>
      </w:pPr>
      <w:r>
        <w:rPr>
          <w:rFonts w:cs="Times New Roman" w:hint="eastAsia"/>
          <w:sz w:val="18"/>
          <w:szCs w:val="18"/>
        </w:rPr>
        <w:t>（2）按组合计提坏账准备的应收款项</w:t>
      </w:r>
    </w:p>
    <w:p w:rsidR="00CB63CD" w:rsidRDefault="00CB63CD">
      <w:pPr>
        <w:pStyle w:val="a3"/>
        <w:spacing w:before="0" w:beforeAutospacing="0" w:after="0" w:afterAutospacing="0" w:line="360" w:lineRule="auto"/>
        <w:ind w:firstLine="360"/>
        <w:divId w:val="1447194184"/>
        <w:rPr>
          <w:rFonts w:ascii="Times New Roman" w:hAnsi="Times New Roman" w:cs="Times New Roman"/>
          <w:sz w:val="21"/>
          <w:szCs w:val="21"/>
        </w:rPr>
      </w:pPr>
      <w:r>
        <w:rPr>
          <w:rFonts w:cs="Times New Roman" w:hint="eastAsia"/>
          <w:color w:val="000000"/>
          <w:sz w:val="18"/>
          <w:szCs w:val="18"/>
        </w:rPr>
        <w:t>除按单项计提坏账准备的应收款项外，</w:t>
      </w:r>
      <w:r>
        <w:rPr>
          <w:rFonts w:cs="Times New Roman" w:hint="eastAsia"/>
          <w:sz w:val="18"/>
          <w:szCs w:val="18"/>
        </w:rPr>
        <w:t>按信用风险特征的相似性和相关性对应收款项进行分组。这些信用风险通常反映债务人按照该等资产的合同条款偿还所有到期金额的能力，并且与被检查资产的未来现金流量测算相关。各组合确定依据及坏账准备计提方法如下：</w:t>
      </w:r>
    </w:p>
    <w:tbl>
      <w:tblPr>
        <w:tblW w:w="4857" w:type="pct"/>
        <w:jc w:val="center"/>
        <w:tblCellMar>
          <w:left w:w="0" w:type="dxa"/>
          <w:right w:w="0" w:type="dxa"/>
        </w:tblCellMar>
        <w:tblLook w:val="04A0" w:firstRow="1" w:lastRow="0" w:firstColumn="1" w:lastColumn="0" w:noHBand="0" w:noVBand="1"/>
      </w:tblPr>
      <w:tblGrid>
        <w:gridCol w:w="1905"/>
        <w:gridCol w:w="2563"/>
        <w:gridCol w:w="5103"/>
      </w:tblGrid>
      <w:tr w:rsidR="00CB63CD">
        <w:trPr>
          <w:divId w:val="1447194184"/>
          <w:trHeight w:val="340"/>
          <w:tblHeader/>
          <w:jc w:val="center"/>
        </w:trPr>
        <w:tc>
          <w:tcPr>
            <w:tcW w:w="9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组合名称</w:t>
            </w:r>
          </w:p>
        </w:tc>
        <w:tc>
          <w:tcPr>
            <w:tcW w:w="133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确定组合的依据</w:t>
            </w:r>
          </w:p>
        </w:tc>
        <w:tc>
          <w:tcPr>
            <w:tcW w:w="26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计量预计信用损失的方法</w:t>
            </w:r>
          </w:p>
        </w:tc>
      </w:tr>
      <w:tr w:rsidR="00CB63CD">
        <w:trPr>
          <w:divId w:val="1447194184"/>
          <w:trHeight w:val="822"/>
          <w:jc w:val="center"/>
        </w:trPr>
        <w:tc>
          <w:tcPr>
            <w:tcW w:w="99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账龄组合</w:t>
            </w:r>
          </w:p>
        </w:tc>
        <w:tc>
          <w:tcPr>
            <w:tcW w:w="13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本组合以应收款项的账龄作为信用风险特征</w:t>
            </w:r>
          </w:p>
        </w:tc>
        <w:tc>
          <w:tcPr>
            <w:tcW w:w="26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参考历史信用损失经验，结合当前状况以及对未来经济状况的预测，编制应收款项账龄与预期信用损失率对照表，计算预期信用损失。</w:t>
            </w:r>
          </w:p>
        </w:tc>
      </w:tr>
      <w:tr w:rsidR="00CB63CD">
        <w:trPr>
          <w:divId w:val="1447194184"/>
          <w:trHeight w:val="563"/>
          <w:jc w:val="center"/>
        </w:trPr>
        <w:tc>
          <w:tcPr>
            <w:tcW w:w="99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合并范围内关联方组合</w:t>
            </w:r>
          </w:p>
        </w:tc>
        <w:tc>
          <w:tcPr>
            <w:tcW w:w="13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本组合包括应收合并范围内关联方公司款项</w:t>
            </w:r>
          </w:p>
        </w:tc>
        <w:tc>
          <w:tcPr>
            <w:tcW w:w="26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参考历史信用损失经验，结合当前状况及未来经济状况的预测，通过违约风险敞口和未来12个月或整个存续期预期信用损失率，计算预期信用损失。此类款项发生坏账损失的可能性极小。</w:t>
            </w:r>
          </w:p>
        </w:tc>
      </w:tr>
      <w:tr w:rsidR="00CB63CD">
        <w:trPr>
          <w:divId w:val="1447194184"/>
          <w:trHeight w:val="608"/>
          <w:jc w:val="center"/>
        </w:trPr>
        <w:tc>
          <w:tcPr>
            <w:tcW w:w="99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银行承兑汇票组合</w:t>
            </w:r>
          </w:p>
        </w:tc>
        <w:tc>
          <w:tcPr>
            <w:tcW w:w="13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本组合包括应收的信用风险较小的银行承兑汇票</w:t>
            </w:r>
          </w:p>
        </w:tc>
        <w:tc>
          <w:tcPr>
            <w:tcW w:w="26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参考历史信用损失经验，结合当前状况及未来经济状况的预测，通过违约风险敞口和未来12个月或整个存续期预期信用损失率，计算预期信用损失。此类款项发生坏账损失的可能性极小。</w:t>
            </w:r>
          </w:p>
        </w:tc>
      </w:tr>
      <w:tr w:rsidR="00CB63CD">
        <w:trPr>
          <w:divId w:val="1447194184"/>
          <w:trHeight w:val="841"/>
          <w:jc w:val="center"/>
        </w:trPr>
        <w:tc>
          <w:tcPr>
            <w:tcW w:w="99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商业承兑汇票组合</w:t>
            </w:r>
          </w:p>
        </w:tc>
        <w:tc>
          <w:tcPr>
            <w:tcW w:w="13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本组合包括应收的商业承兑汇票</w:t>
            </w:r>
          </w:p>
        </w:tc>
        <w:tc>
          <w:tcPr>
            <w:tcW w:w="26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参考历史信用损失经验，结合当前状况以及对未来经济状况的预测，编制应收款项账龄与预期信用损失率对照表，计算预期信用损失。应收商业承兑汇票的账龄起算点追溯至对应的应收款项账龄起始日。</w:t>
            </w:r>
          </w:p>
        </w:tc>
      </w:tr>
    </w:tbl>
    <w:p w:rsidR="00CB63CD" w:rsidRDefault="00CB63CD">
      <w:pPr>
        <w:pStyle w:val="a3"/>
        <w:spacing w:before="0" w:beforeAutospacing="0" w:after="0" w:afterAutospacing="0" w:line="360" w:lineRule="auto"/>
        <w:ind w:firstLine="360"/>
        <w:divId w:val="1447194184"/>
        <w:rPr>
          <w:rFonts w:ascii="Times New Roman" w:hAnsi="Times New Roman" w:cs="Times New Roman"/>
          <w:sz w:val="21"/>
          <w:szCs w:val="21"/>
        </w:rPr>
      </w:pPr>
      <w:r>
        <w:rPr>
          <w:rFonts w:cs="Times New Roman" w:hint="eastAsia"/>
          <w:sz w:val="18"/>
          <w:szCs w:val="18"/>
        </w:rPr>
        <w:t>对于划分为账龄组合的应收款项，本公司参考历史信用损失经验，结合当前状况以及对未来经济状况的预测，编制应收款项账龄与整个存续期预期信用损失率对照表，计算预期信用损失。本公司在上述基础上确定的账龄组合的预期信用损失率如下：</w:t>
      </w:r>
    </w:p>
    <w:tbl>
      <w:tblPr>
        <w:tblW w:w="9012" w:type="dxa"/>
        <w:jc w:val="center"/>
        <w:tblInd w:w="-624" w:type="dxa"/>
        <w:tblCellMar>
          <w:left w:w="0" w:type="dxa"/>
          <w:right w:w="0" w:type="dxa"/>
        </w:tblCellMar>
        <w:tblLook w:val="04A0" w:firstRow="1" w:lastRow="0" w:firstColumn="1" w:lastColumn="0" w:noHBand="0" w:noVBand="1"/>
      </w:tblPr>
      <w:tblGrid>
        <w:gridCol w:w="5245"/>
        <w:gridCol w:w="3767"/>
      </w:tblGrid>
      <w:tr w:rsidR="00CB63CD" w:rsidTr="00C9693C">
        <w:trPr>
          <w:divId w:val="1447194184"/>
          <w:trHeight w:val="312"/>
          <w:jc w:val="center"/>
        </w:trPr>
        <w:tc>
          <w:tcPr>
            <w:tcW w:w="5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lastRenderedPageBreak/>
              <w:t>账    龄</w:t>
            </w:r>
          </w:p>
        </w:tc>
        <w:tc>
          <w:tcPr>
            <w:tcW w:w="37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应收款项预期信用损失率（%）</w:t>
            </w:r>
          </w:p>
        </w:tc>
      </w:tr>
      <w:tr w:rsidR="00CB63CD" w:rsidTr="00C9693C">
        <w:trPr>
          <w:divId w:val="1447194184"/>
          <w:trHeight w:val="312"/>
          <w:jc w:val="center"/>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sz w:val="18"/>
                <w:szCs w:val="18"/>
              </w:rPr>
              <w:t>1年以内</w:t>
            </w:r>
          </w:p>
        </w:tc>
        <w:tc>
          <w:tcPr>
            <w:tcW w:w="37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ind w:firstLine="480"/>
              <w:jc w:val="center"/>
              <w:rPr>
                <w:rFonts w:ascii="Times New Roman" w:hAnsi="Times New Roman" w:cs="Times New Roman"/>
                <w:sz w:val="21"/>
                <w:szCs w:val="21"/>
              </w:rPr>
            </w:pPr>
            <w:r>
              <w:rPr>
                <w:rFonts w:cs="Times New Roman" w:hint="eastAsia"/>
                <w:sz w:val="18"/>
                <w:szCs w:val="18"/>
              </w:rPr>
              <w:t>5</w:t>
            </w:r>
          </w:p>
        </w:tc>
      </w:tr>
      <w:tr w:rsidR="00CB63CD" w:rsidTr="00C9693C">
        <w:trPr>
          <w:divId w:val="1447194184"/>
          <w:trHeight w:val="312"/>
          <w:jc w:val="center"/>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sz w:val="18"/>
                <w:szCs w:val="18"/>
              </w:rPr>
              <w:t>1至2年</w:t>
            </w:r>
          </w:p>
        </w:tc>
        <w:tc>
          <w:tcPr>
            <w:tcW w:w="37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ind w:firstLine="480"/>
              <w:jc w:val="center"/>
              <w:rPr>
                <w:rFonts w:ascii="Times New Roman" w:hAnsi="Times New Roman" w:cs="Times New Roman"/>
                <w:sz w:val="21"/>
                <w:szCs w:val="21"/>
              </w:rPr>
            </w:pPr>
            <w:r>
              <w:rPr>
                <w:rFonts w:cs="Times New Roman" w:hint="eastAsia"/>
                <w:sz w:val="18"/>
                <w:szCs w:val="18"/>
              </w:rPr>
              <w:t>10</w:t>
            </w:r>
          </w:p>
        </w:tc>
      </w:tr>
      <w:tr w:rsidR="00CB63CD" w:rsidTr="00C9693C">
        <w:trPr>
          <w:divId w:val="1447194184"/>
          <w:trHeight w:val="312"/>
          <w:jc w:val="center"/>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sz w:val="18"/>
                <w:szCs w:val="18"/>
              </w:rPr>
              <w:t>2至3年</w:t>
            </w:r>
          </w:p>
        </w:tc>
        <w:tc>
          <w:tcPr>
            <w:tcW w:w="37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ind w:firstLine="480"/>
              <w:jc w:val="center"/>
              <w:rPr>
                <w:rFonts w:ascii="Times New Roman" w:hAnsi="Times New Roman" w:cs="Times New Roman"/>
                <w:sz w:val="21"/>
                <w:szCs w:val="21"/>
              </w:rPr>
            </w:pPr>
            <w:r>
              <w:rPr>
                <w:rFonts w:cs="Times New Roman" w:hint="eastAsia"/>
                <w:sz w:val="18"/>
                <w:szCs w:val="18"/>
              </w:rPr>
              <w:t>30</w:t>
            </w:r>
          </w:p>
        </w:tc>
      </w:tr>
      <w:tr w:rsidR="00CB63CD" w:rsidTr="00C9693C">
        <w:trPr>
          <w:divId w:val="1447194184"/>
          <w:trHeight w:val="312"/>
          <w:jc w:val="center"/>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sz w:val="18"/>
                <w:szCs w:val="18"/>
              </w:rPr>
              <w:t>3至4年</w:t>
            </w:r>
          </w:p>
        </w:tc>
        <w:tc>
          <w:tcPr>
            <w:tcW w:w="37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ind w:firstLine="480"/>
              <w:jc w:val="center"/>
              <w:rPr>
                <w:rFonts w:ascii="Times New Roman" w:hAnsi="Times New Roman" w:cs="Times New Roman"/>
                <w:sz w:val="21"/>
                <w:szCs w:val="21"/>
              </w:rPr>
            </w:pPr>
            <w:r>
              <w:rPr>
                <w:rFonts w:cs="Times New Roman" w:hint="eastAsia"/>
                <w:sz w:val="18"/>
                <w:szCs w:val="18"/>
              </w:rPr>
              <w:t>50</w:t>
            </w:r>
          </w:p>
        </w:tc>
      </w:tr>
      <w:tr w:rsidR="00CB63CD" w:rsidTr="00C9693C">
        <w:trPr>
          <w:divId w:val="1447194184"/>
          <w:trHeight w:val="312"/>
          <w:jc w:val="center"/>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sz w:val="18"/>
                <w:szCs w:val="18"/>
              </w:rPr>
              <w:t>4至5年</w:t>
            </w:r>
          </w:p>
        </w:tc>
        <w:tc>
          <w:tcPr>
            <w:tcW w:w="37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ind w:firstLine="480"/>
              <w:jc w:val="center"/>
              <w:rPr>
                <w:rFonts w:ascii="Times New Roman" w:hAnsi="Times New Roman" w:cs="Times New Roman"/>
                <w:sz w:val="21"/>
                <w:szCs w:val="21"/>
              </w:rPr>
            </w:pPr>
            <w:r>
              <w:rPr>
                <w:rFonts w:cs="Times New Roman" w:hint="eastAsia"/>
                <w:sz w:val="18"/>
                <w:szCs w:val="18"/>
              </w:rPr>
              <w:t>80</w:t>
            </w:r>
          </w:p>
        </w:tc>
      </w:tr>
      <w:tr w:rsidR="00CB63CD" w:rsidTr="00C9693C">
        <w:trPr>
          <w:divId w:val="1447194184"/>
          <w:trHeight w:val="312"/>
          <w:jc w:val="center"/>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sz w:val="18"/>
                <w:szCs w:val="18"/>
              </w:rPr>
              <w:t>5年以上</w:t>
            </w:r>
          </w:p>
        </w:tc>
        <w:tc>
          <w:tcPr>
            <w:tcW w:w="37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ind w:firstLine="480"/>
              <w:jc w:val="center"/>
              <w:rPr>
                <w:rFonts w:ascii="Times New Roman" w:hAnsi="Times New Roman" w:cs="Times New Roman"/>
                <w:sz w:val="21"/>
                <w:szCs w:val="21"/>
              </w:rPr>
            </w:pPr>
            <w:r>
              <w:rPr>
                <w:rFonts w:cs="Times New Roman" w:hint="eastAsia"/>
                <w:sz w:val="18"/>
                <w:szCs w:val="18"/>
              </w:rPr>
              <w:t>100</w:t>
            </w:r>
          </w:p>
        </w:tc>
      </w:tr>
    </w:tbl>
    <w:p w:rsidR="00CB63CD" w:rsidRDefault="00CB63CD">
      <w:pPr>
        <w:divId w:val="1447194184"/>
        <w:rPr>
          <w:rFonts w:ascii="宋体" w:hAnsi="宋体" w:cs="宋体"/>
          <w:sz w:val="24"/>
          <w:szCs w:val="24"/>
        </w:rPr>
      </w:pPr>
    </w:p>
    <w:p w:rsidR="00F068AD" w:rsidRDefault="00CB63CD">
      <w:pPr>
        <w:pStyle w:val="3"/>
        <w:spacing w:line="280" w:lineRule="exact"/>
        <w:jc w:val="left"/>
        <w:rPr>
          <w:rFonts w:ascii="宋体" w:hAnsi="宋体" w:cs="宋体"/>
          <w:b/>
          <w:bCs/>
        </w:rPr>
      </w:pPr>
      <w:bookmarkStart w:id="113" w:name="_Toc989002"/>
      <w:r>
        <w:rPr>
          <w:rFonts w:ascii="宋体" w:hAnsi="宋体" w:cs="宋体"/>
          <w:b/>
          <w:bCs/>
        </w:rPr>
        <w:t>12、应收款项融资</w:t>
      </w:r>
      <w:bookmarkEnd w:id="113"/>
    </w:p>
    <w:p w:rsidR="00CB63CD" w:rsidRDefault="00CB63CD">
      <w:pPr>
        <w:pStyle w:val="a3"/>
        <w:spacing w:before="0" w:beforeAutospacing="0" w:after="0" w:afterAutospacing="0" w:line="360" w:lineRule="auto"/>
        <w:ind w:firstLine="360"/>
        <w:jc w:val="both"/>
        <w:divId w:val="1507548511"/>
        <w:rPr>
          <w:rFonts w:ascii="Times New Roman" w:hAnsi="Times New Roman" w:cs="Times New Roman"/>
          <w:sz w:val="21"/>
          <w:szCs w:val="21"/>
        </w:rPr>
      </w:pPr>
      <w:r>
        <w:rPr>
          <w:rFonts w:cs="Times New Roman" w:hint="eastAsia"/>
          <w:sz w:val="18"/>
          <w:szCs w:val="18"/>
        </w:rPr>
        <w:t>对于合同现金流量特征与基本借贷安排相一致，且公司管理此类金融资产的业务模式为既以收取合同现金流量为目标又以出售为目标的应收票据及应收账款，本公司将其分类为应收款项融资，以公允价值计量且其变动计入其他综合收益。应收款项融资采用实际利率法确认的利息收入、减值损失及汇兑差额确认为当期损益，其余公允价值变动计入其他综合收益。终止确认时，之前计入其他综合收益的累计利得或损失从其他综合收益转出，计入当期损益。</w:t>
      </w:r>
    </w:p>
    <w:p w:rsidR="00F068AD" w:rsidRDefault="00CB63CD">
      <w:pPr>
        <w:pStyle w:val="3"/>
        <w:spacing w:line="280" w:lineRule="exact"/>
        <w:jc w:val="left"/>
        <w:rPr>
          <w:rFonts w:ascii="宋体" w:hAnsi="宋体" w:cs="宋体"/>
          <w:b/>
          <w:bCs/>
        </w:rPr>
      </w:pPr>
      <w:bookmarkStart w:id="114" w:name="_Toc989003"/>
      <w:r>
        <w:rPr>
          <w:rFonts w:ascii="宋体" w:hAnsi="宋体" w:cs="宋体"/>
          <w:b/>
          <w:bCs/>
        </w:rPr>
        <w:t>13、存货</w:t>
      </w:r>
      <w:bookmarkEnd w:id="114"/>
    </w:p>
    <w:p w:rsidR="00CB63CD" w:rsidRDefault="00CB63CD">
      <w:pPr>
        <w:pStyle w:val="a3"/>
        <w:spacing w:before="0" w:beforeAutospacing="0" w:after="0" w:afterAutospacing="0" w:line="360" w:lineRule="auto"/>
        <w:ind w:firstLine="360"/>
        <w:jc w:val="both"/>
        <w:divId w:val="423040539"/>
        <w:rPr>
          <w:rFonts w:ascii="Times New Roman" w:hAnsi="Times New Roman" w:cs="Times New Roman"/>
          <w:sz w:val="21"/>
          <w:szCs w:val="21"/>
        </w:rPr>
      </w:pPr>
      <w:r>
        <w:rPr>
          <w:rFonts w:cs="Times New Roman" w:hint="eastAsia"/>
          <w:sz w:val="18"/>
          <w:szCs w:val="18"/>
        </w:rPr>
        <w:t>（1）公司存货包括原材料、在产品、库存商品、周转材料等。</w:t>
      </w:r>
    </w:p>
    <w:p w:rsidR="00CB63CD" w:rsidRDefault="00CB63CD">
      <w:pPr>
        <w:pStyle w:val="a3"/>
        <w:spacing w:before="0" w:beforeAutospacing="0" w:after="0" w:afterAutospacing="0" w:line="360" w:lineRule="auto"/>
        <w:ind w:firstLine="360"/>
        <w:jc w:val="both"/>
        <w:divId w:val="423040539"/>
        <w:rPr>
          <w:rFonts w:ascii="Times New Roman" w:hAnsi="Times New Roman" w:cs="Times New Roman"/>
          <w:sz w:val="21"/>
          <w:szCs w:val="21"/>
        </w:rPr>
      </w:pPr>
      <w:r>
        <w:rPr>
          <w:rFonts w:cs="Times New Roman" w:hint="eastAsia"/>
          <w:sz w:val="18"/>
          <w:szCs w:val="18"/>
        </w:rPr>
        <w:t>（2）原材料、产成品发出时采用加权平均法核算。</w:t>
      </w:r>
    </w:p>
    <w:p w:rsidR="00CB63CD" w:rsidRDefault="00CB63CD">
      <w:pPr>
        <w:pStyle w:val="a3"/>
        <w:spacing w:before="0" w:beforeAutospacing="0" w:after="0" w:afterAutospacing="0" w:line="360" w:lineRule="auto"/>
        <w:ind w:firstLine="360"/>
        <w:jc w:val="both"/>
        <w:divId w:val="423040539"/>
        <w:rPr>
          <w:rFonts w:ascii="Times New Roman" w:hAnsi="Times New Roman" w:cs="Times New Roman"/>
          <w:sz w:val="21"/>
          <w:szCs w:val="21"/>
        </w:rPr>
      </w:pPr>
      <w:r>
        <w:rPr>
          <w:rFonts w:cs="Times New Roman" w:hint="eastAsia"/>
          <w:sz w:val="18"/>
          <w:szCs w:val="18"/>
        </w:rPr>
        <w:t>（3）存货可变现净值的确定依据及存货跌价准备的计提方法</w:t>
      </w:r>
    </w:p>
    <w:p w:rsidR="00CB63CD" w:rsidRDefault="00CB63CD">
      <w:pPr>
        <w:pStyle w:val="a3"/>
        <w:spacing w:before="0" w:beforeAutospacing="0" w:after="0" w:afterAutospacing="0" w:line="360" w:lineRule="auto"/>
        <w:ind w:firstLine="360"/>
        <w:jc w:val="both"/>
        <w:divId w:val="423040539"/>
        <w:rPr>
          <w:rFonts w:ascii="Times New Roman" w:hAnsi="Times New Roman" w:cs="Times New Roman"/>
          <w:sz w:val="21"/>
          <w:szCs w:val="21"/>
        </w:rPr>
      </w:pPr>
      <w:r>
        <w:rPr>
          <w:rFonts w:cs="Times New Roman" w:hint="eastAsia"/>
          <w:sz w:val="18"/>
          <w:szCs w:val="18"/>
        </w:rPr>
        <w:t>存货可变现净值按存货的估计售价减去至完工时估计将要发生的成本、估计的销售费用以及相关税费后的金额确定。</w:t>
      </w:r>
    </w:p>
    <w:p w:rsidR="00CB63CD" w:rsidRDefault="00CB63CD">
      <w:pPr>
        <w:pStyle w:val="a3"/>
        <w:spacing w:before="0" w:beforeAutospacing="0" w:after="0" w:afterAutospacing="0" w:line="360" w:lineRule="auto"/>
        <w:ind w:firstLine="360"/>
        <w:jc w:val="both"/>
        <w:divId w:val="423040539"/>
        <w:rPr>
          <w:rFonts w:ascii="Times New Roman" w:hAnsi="Times New Roman" w:cs="Times New Roman"/>
          <w:sz w:val="21"/>
          <w:szCs w:val="21"/>
        </w:rPr>
      </w:pPr>
      <w:r>
        <w:rPr>
          <w:rFonts w:cs="Times New Roman" w:hint="eastAsia"/>
          <w:sz w:val="18"/>
          <w:szCs w:val="18"/>
        </w:rPr>
        <w:t>期末，按照单个存货成本高于可变现净值的差额计提存货跌价准备，计入当期损益；以前减记存货价值的影响因素已经消失的，减记的金额应当予以恢复，并在原已计提的存货跌价准备金额内转回，转回的金额计入当期损益。对于数量繁多、单价较低的存货，按存货类别计提存货跌价准备。</w:t>
      </w:r>
    </w:p>
    <w:p w:rsidR="00CB63CD" w:rsidRDefault="00CB63CD">
      <w:pPr>
        <w:pStyle w:val="a3"/>
        <w:spacing w:before="0" w:beforeAutospacing="0" w:after="0" w:afterAutospacing="0" w:line="360" w:lineRule="auto"/>
        <w:ind w:firstLine="360"/>
        <w:jc w:val="both"/>
        <w:divId w:val="423040539"/>
        <w:rPr>
          <w:rFonts w:ascii="Times New Roman" w:hAnsi="Times New Roman" w:cs="Times New Roman"/>
          <w:sz w:val="21"/>
          <w:szCs w:val="21"/>
        </w:rPr>
      </w:pPr>
      <w:r>
        <w:rPr>
          <w:rFonts w:cs="Times New Roman" w:hint="eastAsia"/>
          <w:sz w:val="18"/>
          <w:szCs w:val="18"/>
        </w:rPr>
        <w:t>（4）公司存货盘存采用永续盘存制。</w:t>
      </w:r>
    </w:p>
    <w:p w:rsidR="00CB63CD" w:rsidRDefault="00CB63CD">
      <w:pPr>
        <w:pStyle w:val="a3"/>
        <w:spacing w:before="0" w:beforeAutospacing="0" w:after="0" w:afterAutospacing="0" w:line="360" w:lineRule="auto"/>
        <w:ind w:firstLine="360"/>
        <w:jc w:val="both"/>
        <w:divId w:val="423040539"/>
        <w:rPr>
          <w:rFonts w:ascii="Times New Roman" w:hAnsi="Times New Roman" w:cs="Times New Roman"/>
          <w:sz w:val="21"/>
          <w:szCs w:val="21"/>
        </w:rPr>
      </w:pPr>
      <w:r>
        <w:rPr>
          <w:rFonts w:cs="Times New Roman" w:hint="eastAsia"/>
          <w:sz w:val="18"/>
          <w:szCs w:val="18"/>
        </w:rPr>
        <w:t>（5）周转材料包括低值易耗品和包装物等，在领用时采用一次转销法进行摊销。</w:t>
      </w:r>
    </w:p>
    <w:p w:rsidR="00F068AD" w:rsidRDefault="00CB63CD">
      <w:pPr>
        <w:pStyle w:val="3"/>
        <w:spacing w:line="280" w:lineRule="exact"/>
        <w:jc w:val="left"/>
        <w:rPr>
          <w:rFonts w:ascii="宋体" w:hAnsi="宋体" w:cs="宋体"/>
          <w:b/>
          <w:bCs/>
        </w:rPr>
      </w:pPr>
      <w:bookmarkStart w:id="115" w:name="_Toc989004"/>
      <w:r>
        <w:rPr>
          <w:rFonts w:ascii="宋体" w:hAnsi="宋体" w:cs="宋体"/>
          <w:b/>
          <w:bCs/>
        </w:rPr>
        <w:t>14、合同资产</w:t>
      </w:r>
      <w:bookmarkEnd w:id="115"/>
    </w:p>
    <w:p w:rsidR="00CB63CD" w:rsidRDefault="00CB63CD">
      <w:pPr>
        <w:pStyle w:val="a3"/>
        <w:spacing w:before="0" w:beforeAutospacing="0" w:after="0" w:afterAutospacing="0" w:line="360" w:lineRule="auto"/>
        <w:ind w:firstLine="360"/>
        <w:jc w:val="both"/>
        <w:divId w:val="478152921"/>
        <w:rPr>
          <w:rFonts w:ascii="Times New Roman" w:hAnsi="Times New Roman" w:cs="Times New Roman"/>
          <w:sz w:val="21"/>
          <w:szCs w:val="21"/>
        </w:rPr>
      </w:pPr>
      <w:r>
        <w:rPr>
          <w:rFonts w:cs="Times New Roman" w:hint="eastAsia"/>
          <w:sz w:val="18"/>
          <w:szCs w:val="18"/>
        </w:rPr>
        <w:t>合同资产是指本公司已向客户转让商品或服务而有权收取对价的权利，且该权利取决于时间流逝之外的其他因素。本公司拥有的无条件(即，仅取决于时间流逝)向客户收取对价的权利作为应收款项单独列示。</w:t>
      </w:r>
    </w:p>
    <w:p w:rsidR="00CB63CD" w:rsidRDefault="00CB63CD">
      <w:pPr>
        <w:pStyle w:val="a3"/>
        <w:spacing w:before="0" w:beforeAutospacing="0" w:after="0" w:afterAutospacing="0" w:line="360" w:lineRule="auto"/>
        <w:ind w:firstLine="360"/>
        <w:jc w:val="both"/>
        <w:divId w:val="478152921"/>
        <w:rPr>
          <w:rFonts w:ascii="Times New Roman" w:hAnsi="Times New Roman" w:cs="Times New Roman"/>
          <w:sz w:val="21"/>
          <w:szCs w:val="21"/>
        </w:rPr>
      </w:pPr>
      <w:r>
        <w:rPr>
          <w:rFonts w:ascii="Times New Roman" w:hAnsi="Times New Roman" w:cs="Times New Roman"/>
          <w:sz w:val="21"/>
          <w:szCs w:val="21"/>
        </w:rPr>
        <w:t> </w:t>
      </w:r>
    </w:p>
    <w:p w:rsidR="00CB63CD" w:rsidRDefault="00CB63CD">
      <w:pPr>
        <w:pStyle w:val="a3"/>
        <w:spacing w:before="0" w:beforeAutospacing="0" w:after="0" w:afterAutospacing="0" w:line="360" w:lineRule="auto"/>
        <w:ind w:firstLine="360"/>
        <w:jc w:val="both"/>
        <w:divId w:val="1957712185"/>
        <w:rPr>
          <w:rFonts w:ascii="Times New Roman" w:hAnsi="Times New Roman" w:cs="Times New Roman"/>
          <w:sz w:val="21"/>
          <w:szCs w:val="21"/>
        </w:rPr>
      </w:pPr>
      <w:r>
        <w:rPr>
          <w:rFonts w:cs="Times New Roman" w:hint="eastAsia"/>
          <w:sz w:val="18"/>
          <w:szCs w:val="18"/>
        </w:rPr>
        <w:t>合同资产预期信用损失的确定方法及会计处理方法，与附注五、11应收账款的预期信用损失的确定方法及会计处理方法一致。</w:t>
      </w:r>
    </w:p>
    <w:p w:rsidR="00F068AD" w:rsidRDefault="00CB63CD">
      <w:pPr>
        <w:pStyle w:val="3"/>
        <w:spacing w:line="280" w:lineRule="exact"/>
        <w:jc w:val="left"/>
        <w:rPr>
          <w:rFonts w:ascii="宋体" w:hAnsi="宋体" w:cs="宋体"/>
          <w:b/>
          <w:bCs/>
        </w:rPr>
      </w:pPr>
      <w:bookmarkStart w:id="116" w:name="_Toc989005"/>
      <w:r>
        <w:rPr>
          <w:rFonts w:ascii="宋体" w:hAnsi="宋体" w:cs="宋体"/>
          <w:b/>
          <w:bCs/>
        </w:rPr>
        <w:lastRenderedPageBreak/>
        <w:t>15、合同成本</w:t>
      </w:r>
      <w:bookmarkEnd w:id="116"/>
    </w:p>
    <w:p w:rsidR="00CB63CD" w:rsidRDefault="00CB63CD">
      <w:pPr>
        <w:pStyle w:val="a3"/>
        <w:spacing w:before="0" w:beforeAutospacing="0" w:after="0" w:afterAutospacing="0" w:line="360" w:lineRule="auto"/>
        <w:ind w:firstLine="360"/>
        <w:jc w:val="both"/>
        <w:divId w:val="165904344"/>
        <w:rPr>
          <w:rFonts w:ascii="Times New Roman" w:hAnsi="Times New Roman" w:cs="Times New Roman"/>
          <w:sz w:val="21"/>
          <w:szCs w:val="21"/>
        </w:rPr>
      </w:pPr>
      <w:r>
        <w:rPr>
          <w:rFonts w:cs="Times New Roman" w:hint="eastAsia"/>
          <w:sz w:val="18"/>
          <w:szCs w:val="18"/>
        </w:rPr>
        <w:t>（1）取得合同的成本</w:t>
      </w:r>
    </w:p>
    <w:p w:rsidR="00CB63CD" w:rsidRDefault="00CB63CD">
      <w:pPr>
        <w:pStyle w:val="a3"/>
        <w:spacing w:before="0" w:beforeAutospacing="0" w:after="0" w:afterAutospacing="0" w:line="360" w:lineRule="auto"/>
        <w:ind w:firstLine="360"/>
        <w:jc w:val="both"/>
        <w:divId w:val="165904344"/>
        <w:rPr>
          <w:rFonts w:ascii="Times New Roman" w:hAnsi="Times New Roman" w:cs="Times New Roman"/>
          <w:sz w:val="21"/>
          <w:szCs w:val="21"/>
        </w:rPr>
      </w:pPr>
      <w:r>
        <w:rPr>
          <w:rFonts w:cs="Times New Roman" w:hint="eastAsia"/>
          <w:sz w:val="18"/>
          <w:szCs w:val="18"/>
        </w:rPr>
        <w:t>本公司为取得合同发生的增量成本(即不取得合同就不会发生的成本)预期能够收回的，确认为一项资产，并采用与该资产相关的商品或服务收入确认相同的基础进行摊销，计入当期损益。若该项资产摊销期限不超过一年的，在发生时计入当期损益。本公司为取得合同发生的其他支出，在发生时计入当期损益，明确由客户承担的除外。</w:t>
      </w:r>
    </w:p>
    <w:p w:rsidR="00CB63CD" w:rsidRDefault="00CB63CD">
      <w:pPr>
        <w:pStyle w:val="a3"/>
        <w:spacing w:before="0" w:beforeAutospacing="0" w:after="0" w:afterAutospacing="0" w:line="360" w:lineRule="auto"/>
        <w:ind w:firstLine="360"/>
        <w:jc w:val="both"/>
        <w:divId w:val="165904344"/>
        <w:rPr>
          <w:rFonts w:ascii="Times New Roman" w:hAnsi="Times New Roman" w:cs="Times New Roman"/>
          <w:sz w:val="21"/>
          <w:szCs w:val="21"/>
        </w:rPr>
      </w:pPr>
      <w:r>
        <w:rPr>
          <w:rFonts w:cs="Times New Roman" w:hint="eastAsia"/>
          <w:sz w:val="18"/>
          <w:szCs w:val="18"/>
        </w:rPr>
        <w:t>（2）履行合同的成本</w:t>
      </w:r>
    </w:p>
    <w:p w:rsidR="00CB63CD" w:rsidRDefault="00CB63CD">
      <w:pPr>
        <w:pStyle w:val="a3"/>
        <w:spacing w:before="0" w:beforeAutospacing="0" w:after="0" w:afterAutospacing="0" w:line="360" w:lineRule="auto"/>
        <w:ind w:firstLine="360"/>
        <w:jc w:val="both"/>
        <w:divId w:val="165904344"/>
        <w:rPr>
          <w:rFonts w:ascii="Times New Roman" w:hAnsi="Times New Roman" w:cs="Times New Roman"/>
          <w:sz w:val="21"/>
          <w:szCs w:val="21"/>
        </w:rPr>
      </w:pPr>
      <w:r>
        <w:rPr>
          <w:rFonts w:cs="Times New Roman" w:hint="eastAsia"/>
          <w:sz w:val="18"/>
          <w:szCs w:val="18"/>
        </w:rPr>
        <w:t>本公司为履行合同发生的成本，不属于除收入准则外的其他企业会计准则范围且同时满足下列条件的，确认为一项资产：①该成本与一份当前或预期取得的合同直接相关；②该成本增加了本公司未来用于履行履约义务的资源；③该成本预期能够收回。确认的资产采用与该资产相关的商品或服务收入确认相同的基础进行摊销，计入当期损益。</w:t>
      </w:r>
    </w:p>
    <w:p w:rsidR="00CB63CD" w:rsidRDefault="00CB63CD">
      <w:pPr>
        <w:pStyle w:val="a3"/>
        <w:spacing w:before="0" w:beforeAutospacing="0" w:after="0" w:afterAutospacing="0" w:line="360" w:lineRule="auto"/>
        <w:ind w:firstLine="360"/>
        <w:jc w:val="both"/>
        <w:divId w:val="165904344"/>
        <w:rPr>
          <w:rFonts w:ascii="Times New Roman" w:hAnsi="Times New Roman" w:cs="Times New Roman"/>
          <w:sz w:val="21"/>
          <w:szCs w:val="21"/>
        </w:rPr>
      </w:pPr>
      <w:r>
        <w:rPr>
          <w:rFonts w:cs="Times New Roman" w:hint="eastAsia"/>
          <w:sz w:val="18"/>
          <w:szCs w:val="18"/>
        </w:rPr>
        <w:t>（3）合同成本减值</w:t>
      </w:r>
    </w:p>
    <w:p w:rsidR="00CB63CD" w:rsidRDefault="00CB63CD">
      <w:pPr>
        <w:pStyle w:val="a3"/>
        <w:spacing w:before="0" w:beforeAutospacing="0" w:after="0" w:afterAutospacing="0" w:line="360" w:lineRule="auto"/>
        <w:ind w:firstLine="360"/>
        <w:jc w:val="both"/>
        <w:divId w:val="165904344"/>
        <w:rPr>
          <w:rFonts w:ascii="Times New Roman" w:hAnsi="Times New Roman" w:cs="Times New Roman"/>
          <w:sz w:val="21"/>
          <w:szCs w:val="21"/>
        </w:rPr>
      </w:pPr>
      <w:r>
        <w:rPr>
          <w:rFonts w:cs="Times New Roman" w:hint="eastAsia"/>
          <w:sz w:val="18"/>
          <w:szCs w:val="18"/>
        </w:rPr>
        <w:t>合同成本账面价值高于下列两项的差额的，计提减值准备，并确认为资产减值损失：①因转让与该资产相关的商品预期能够取得的剩余对价；②为转让该相关商品估计将要发生的成本。</w:t>
      </w:r>
    </w:p>
    <w:p w:rsidR="00CB63CD" w:rsidRDefault="00CB63CD">
      <w:pPr>
        <w:pStyle w:val="a3"/>
        <w:spacing w:before="0" w:beforeAutospacing="0" w:after="0" w:afterAutospacing="0" w:line="360" w:lineRule="auto"/>
        <w:ind w:firstLine="360"/>
        <w:jc w:val="both"/>
        <w:divId w:val="165904344"/>
        <w:rPr>
          <w:rFonts w:ascii="Times New Roman" w:hAnsi="Times New Roman" w:cs="Times New Roman"/>
          <w:sz w:val="21"/>
          <w:szCs w:val="21"/>
        </w:rPr>
      </w:pPr>
      <w:r>
        <w:rPr>
          <w:rFonts w:cs="Times New Roman" w:hint="eastAsia"/>
          <w:sz w:val="18"/>
          <w:szCs w:val="18"/>
        </w:rPr>
        <w:t>以前期间减值的因素之后发生变化，使得前款①减②的差额高于合同成本账面价值的，应当转回原已计提的资产减值准备，并计入当期损益，但转回后的合同成本账面价值不应超过假定不计提减值准备情况下该资产在转回日的账面价值。</w:t>
      </w:r>
    </w:p>
    <w:p w:rsidR="00F068AD" w:rsidRDefault="00CB63CD">
      <w:pPr>
        <w:pStyle w:val="3"/>
        <w:spacing w:line="280" w:lineRule="exact"/>
        <w:jc w:val="left"/>
        <w:rPr>
          <w:rFonts w:ascii="宋体" w:hAnsi="宋体" w:cs="宋体"/>
          <w:b/>
          <w:bCs/>
        </w:rPr>
      </w:pPr>
      <w:bookmarkStart w:id="117" w:name="_Toc989006"/>
      <w:r>
        <w:rPr>
          <w:rFonts w:ascii="宋体" w:hAnsi="宋体" w:cs="宋体"/>
          <w:b/>
          <w:bCs/>
        </w:rPr>
        <w:t>16、持有待售资产</w:t>
      </w:r>
      <w:bookmarkEnd w:id="117"/>
    </w:p>
    <w:p w:rsidR="00CB63CD" w:rsidRDefault="00CB63CD">
      <w:pPr>
        <w:pStyle w:val="a3"/>
        <w:spacing w:before="0" w:beforeAutospacing="0" w:after="0" w:afterAutospacing="0" w:line="360" w:lineRule="auto"/>
        <w:ind w:firstLine="360"/>
        <w:jc w:val="both"/>
        <w:divId w:val="876621206"/>
        <w:rPr>
          <w:rFonts w:ascii="Times New Roman" w:hAnsi="Times New Roman" w:cs="Times New Roman"/>
          <w:sz w:val="21"/>
          <w:szCs w:val="21"/>
        </w:rPr>
      </w:pPr>
      <w:r>
        <w:rPr>
          <w:rFonts w:cs="Times New Roman" w:hint="eastAsia"/>
          <w:sz w:val="18"/>
          <w:szCs w:val="18"/>
        </w:rPr>
        <w:t>公司将在当前状况下根据惯常条款可立即出售，已经作出处置决议、已经与受让方签订了不可撤销的转让协议、并且该项转让将在一年内完成的固定资产、无形资产、成本模式后续计量的投资性房地产、长期股权投资等非流动资产（不包括递延所得税资产），划分为持有待售资产。按账面价值与预计可变现净值孰低者计量持有待售资产，账面价值高于预计可变现净值之间的差额确认为资产减值损失。</w:t>
      </w:r>
    </w:p>
    <w:p w:rsidR="00F068AD" w:rsidRDefault="00CB63CD">
      <w:pPr>
        <w:pStyle w:val="3"/>
        <w:spacing w:line="280" w:lineRule="exact"/>
        <w:jc w:val="left"/>
        <w:rPr>
          <w:rFonts w:ascii="宋体" w:hAnsi="宋体" w:cs="宋体"/>
          <w:b/>
          <w:bCs/>
        </w:rPr>
      </w:pPr>
      <w:bookmarkStart w:id="118" w:name="_Toc989007"/>
      <w:r>
        <w:rPr>
          <w:rFonts w:ascii="宋体" w:hAnsi="宋体" w:cs="宋体"/>
          <w:b/>
          <w:bCs/>
        </w:rPr>
        <w:t>17、长期股权投资</w:t>
      </w:r>
      <w:bookmarkEnd w:id="118"/>
    </w:p>
    <w:p w:rsidR="00CB63CD" w:rsidRDefault="00CB63CD">
      <w:pPr>
        <w:pStyle w:val="a3"/>
        <w:spacing w:before="0" w:beforeAutospacing="0" w:after="0" w:afterAutospacing="0" w:line="360" w:lineRule="auto"/>
        <w:ind w:firstLine="360"/>
        <w:jc w:val="both"/>
        <w:divId w:val="1464612468"/>
        <w:rPr>
          <w:rFonts w:ascii="Times New Roman" w:hAnsi="Times New Roman" w:cs="Times New Roman"/>
          <w:sz w:val="21"/>
          <w:szCs w:val="21"/>
        </w:rPr>
      </w:pPr>
      <w:r>
        <w:rPr>
          <w:rFonts w:cs="Times New Roman" w:hint="eastAsia"/>
          <w:sz w:val="18"/>
          <w:szCs w:val="18"/>
        </w:rPr>
        <w:t>（1）重大影响、共同控制的判断标准</w:t>
      </w:r>
    </w:p>
    <w:p w:rsidR="00CB63CD" w:rsidRDefault="00CB63CD">
      <w:pPr>
        <w:pStyle w:val="a3"/>
        <w:spacing w:before="0" w:beforeAutospacing="0" w:after="0" w:afterAutospacing="0" w:line="360" w:lineRule="auto"/>
        <w:ind w:firstLine="360"/>
        <w:jc w:val="both"/>
        <w:divId w:val="1464612468"/>
        <w:rPr>
          <w:rFonts w:ascii="Times New Roman" w:hAnsi="Times New Roman" w:cs="Times New Roman"/>
          <w:sz w:val="21"/>
          <w:szCs w:val="21"/>
        </w:rPr>
      </w:pPr>
      <w:r>
        <w:rPr>
          <w:rFonts w:cs="Times New Roman" w:hint="eastAsia"/>
          <w:sz w:val="18"/>
          <w:szCs w:val="18"/>
        </w:rPr>
        <w:t>①公司结合以下情形综合考虑是否对被投资单位具有重大影响：是否在被投资单位董事会或类似权利机构中派有代表；是否参与被投资单位财务和经营政策制定过程；是否与被投资单位之间发生重要交易；是否向被投资单位派出管理人员；是否向被投资单位提供关键技术资料。</w:t>
      </w:r>
    </w:p>
    <w:p w:rsidR="00CB63CD" w:rsidRDefault="00CB63CD">
      <w:pPr>
        <w:pStyle w:val="a3"/>
        <w:spacing w:before="0" w:beforeAutospacing="0" w:after="0" w:afterAutospacing="0" w:line="360" w:lineRule="auto"/>
        <w:ind w:firstLine="360"/>
        <w:jc w:val="both"/>
        <w:divId w:val="1464612468"/>
        <w:rPr>
          <w:rFonts w:ascii="Times New Roman" w:hAnsi="Times New Roman" w:cs="Times New Roman"/>
          <w:sz w:val="21"/>
          <w:szCs w:val="21"/>
        </w:rPr>
      </w:pPr>
      <w:r>
        <w:rPr>
          <w:rFonts w:cs="Times New Roman" w:hint="eastAsia"/>
          <w:sz w:val="18"/>
          <w:szCs w:val="18"/>
        </w:rPr>
        <w:t>②若公司与其他参与方均受某合营安排的约束，任何一个参与方不能单独控制该安排，任何一个参与方均能够阻止其他参与方或参与方组合单独控制该安排，公司判断对该项合营安排具有共同控制。</w:t>
      </w:r>
    </w:p>
    <w:p w:rsidR="00CB63CD" w:rsidRDefault="00CB63CD">
      <w:pPr>
        <w:pStyle w:val="a3"/>
        <w:spacing w:before="0" w:beforeAutospacing="0" w:after="0" w:afterAutospacing="0" w:line="360" w:lineRule="auto"/>
        <w:ind w:firstLine="360"/>
        <w:jc w:val="both"/>
        <w:divId w:val="1464612468"/>
        <w:rPr>
          <w:rFonts w:ascii="Times New Roman" w:hAnsi="Times New Roman" w:cs="Times New Roman"/>
          <w:sz w:val="21"/>
          <w:szCs w:val="21"/>
        </w:rPr>
      </w:pPr>
      <w:r>
        <w:rPr>
          <w:rFonts w:cs="Times New Roman" w:hint="eastAsia"/>
          <w:sz w:val="18"/>
          <w:szCs w:val="18"/>
        </w:rPr>
        <w:t>（2）投资成本确定</w:t>
      </w:r>
    </w:p>
    <w:p w:rsidR="00CB63CD" w:rsidRDefault="00CB63CD">
      <w:pPr>
        <w:pStyle w:val="a3"/>
        <w:spacing w:before="0" w:beforeAutospacing="0" w:after="0" w:afterAutospacing="0" w:line="360" w:lineRule="auto"/>
        <w:ind w:firstLine="360"/>
        <w:jc w:val="both"/>
        <w:divId w:val="1464612468"/>
        <w:rPr>
          <w:rFonts w:ascii="Times New Roman" w:hAnsi="Times New Roman" w:cs="Times New Roman"/>
          <w:sz w:val="21"/>
          <w:szCs w:val="21"/>
        </w:rPr>
      </w:pPr>
      <w:r>
        <w:rPr>
          <w:rFonts w:cs="Times New Roman" w:hint="eastAsia"/>
          <w:sz w:val="18"/>
          <w:szCs w:val="18"/>
        </w:rPr>
        <w:lastRenderedPageBreak/>
        <w:t>①企业合并形成的长期股权投资，按以下方法确定投资成本：</w:t>
      </w:r>
    </w:p>
    <w:p w:rsidR="00CB63CD" w:rsidRDefault="00CB63CD">
      <w:pPr>
        <w:pStyle w:val="a3"/>
        <w:spacing w:before="0" w:beforeAutospacing="0" w:after="0" w:afterAutospacing="0" w:line="360" w:lineRule="auto"/>
        <w:ind w:firstLine="360"/>
        <w:jc w:val="both"/>
        <w:divId w:val="1464612468"/>
        <w:rPr>
          <w:rFonts w:ascii="Times New Roman" w:hAnsi="Times New Roman" w:cs="Times New Roman"/>
          <w:sz w:val="21"/>
          <w:szCs w:val="21"/>
        </w:rPr>
      </w:pPr>
      <w:r>
        <w:rPr>
          <w:rFonts w:cs="Times New Roman" w:hint="eastAsia"/>
          <w:sz w:val="18"/>
          <w:szCs w:val="18"/>
        </w:rPr>
        <w:t>A、对于同一控制下企业合并形成的对子公司投资，以在合并日取得被合并方所有者权益在最终控制方合并财务报表中账面价值的份额作为长期股权投资的投资成本。</w:t>
      </w:r>
    </w:p>
    <w:p w:rsidR="00CB63CD" w:rsidRDefault="00CB63CD">
      <w:pPr>
        <w:pStyle w:val="a3"/>
        <w:spacing w:before="0" w:beforeAutospacing="0" w:after="0" w:afterAutospacing="0" w:line="360" w:lineRule="auto"/>
        <w:ind w:firstLine="360"/>
        <w:jc w:val="both"/>
        <w:divId w:val="1464612468"/>
        <w:rPr>
          <w:rFonts w:ascii="Times New Roman" w:hAnsi="Times New Roman" w:cs="Times New Roman"/>
          <w:sz w:val="21"/>
          <w:szCs w:val="21"/>
        </w:rPr>
      </w:pPr>
      <w:r>
        <w:rPr>
          <w:rFonts w:cs="Times New Roman" w:hint="eastAsia"/>
          <w:sz w:val="18"/>
          <w:szCs w:val="18"/>
        </w:rPr>
        <w:t>分步实现的同一控制下企业合并，在合并日根据合并后应享有被合并方净资产在最终控制方合并财务报表中的账面价值的份额，确定长期股权投资的初始投资成本；初始投资成本与达到合并前长期股权投资账面价值加上合并日进一步取得股份新支付对价的账面价值之和的差额，调整资本公积（资/股本溢价），资本公积不足冲减的，冲减留存收益。合并日之前持有的股权投资，因采用权益法核算或金融工具确认和计量准则核算而确认的其他综合收益暂不进行会计处理，直至处置该项投资时采用与投资单位直接处置相关资产或负债相同的基础进行会计处理；因采用权益法核算而确认的被投资单位净资产总除净损益、其他综合收益和利润分配以外的所有者权益其他变动，暂不进行会计处理，直至处置该项投资时转入当期损益。其中，处置后的剩余股权根据本准则采用成本法或权益法核算的，其他综合收益和其他所有者权益应按比例结转，处置后的剩余股权改按金融工具确认和计量准则进行会计处理的，其他综合收益和其他所有者权益应全部结转。</w:t>
      </w:r>
    </w:p>
    <w:p w:rsidR="00CB63CD" w:rsidRDefault="00CB63CD">
      <w:pPr>
        <w:pStyle w:val="a3"/>
        <w:spacing w:before="0" w:beforeAutospacing="0" w:after="0" w:afterAutospacing="0" w:line="360" w:lineRule="auto"/>
        <w:ind w:firstLine="360"/>
        <w:jc w:val="both"/>
        <w:divId w:val="1464612468"/>
        <w:rPr>
          <w:rFonts w:ascii="Times New Roman" w:hAnsi="Times New Roman" w:cs="Times New Roman"/>
          <w:sz w:val="21"/>
          <w:szCs w:val="21"/>
        </w:rPr>
      </w:pPr>
      <w:r>
        <w:rPr>
          <w:rFonts w:cs="Times New Roman" w:hint="eastAsia"/>
          <w:sz w:val="18"/>
          <w:szCs w:val="18"/>
        </w:rPr>
        <w:t>B、对于非同一控制下企业合并形成的对子公司投资，以企业合并成本作为投资成本。</w:t>
      </w:r>
    </w:p>
    <w:p w:rsidR="00CB63CD" w:rsidRDefault="00CB63CD">
      <w:pPr>
        <w:pStyle w:val="a3"/>
        <w:spacing w:before="0" w:beforeAutospacing="0" w:after="0" w:afterAutospacing="0" w:line="360" w:lineRule="auto"/>
        <w:ind w:firstLine="360"/>
        <w:jc w:val="both"/>
        <w:divId w:val="1464612468"/>
        <w:rPr>
          <w:rFonts w:ascii="Times New Roman" w:hAnsi="Times New Roman" w:cs="Times New Roman"/>
          <w:sz w:val="21"/>
          <w:szCs w:val="21"/>
        </w:rPr>
      </w:pPr>
      <w:r>
        <w:rPr>
          <w:rFonts w:cs="Times New Roman" w:hint="eastAsia"/>
          <w:sz w:val="18"/>
          <w:szCs w:val="18"/>
        </w:rPr>
        <w:t>追加投资能够对非同一控制下的被投资单位实施控制的，以购买日之前所持被购买方的股权投资的账面价值与购买日新增投资成本之和，作为改按成本法核算的初始投资成本；购买日之前持有的被购买方的股权投资因采用权益法核算而确认的其他综合收益，在处置该项投资时采用与被投资单位直接处置相关资产或负债相同的基础进行会计处理。购买日之前持有的股权投资按照《企业会计准则第22号——金融工具确认和计量》有关规定进行会计处理的，原计入其他综合收益的累计公允价值变动应当在改按成本法核算时转入留存收益。</w:t>
      </w:r>
    </w:p>
    <w:p w:rsidR="00CB63CD" w:rsidRDefault="00CB63CD">
      <w:pPr>
        <w:pStyle w:val="a3"/>
        <w:spacing w:before="0" w:beforeAutospacing="0" w:after="0" w:afterAutospacing="0" w:line="360" w:lineRule="auto"/>
        <w:ind w:firstLine="360"/>
        <w:jc w:val="both"/>
        <w:divId w:val="1464612468"/>
        <w:rPr>
          <w:rFonts w:ascii="Times New Roman" w:hAnsi="Times New Roman" w:cs="Times New Roman"/>
          <w:sz w:val="21"/>
          <w:szCs w:val="21"/>
        </w:rPr>
      </w:pPr>
      <w:r>
        <w:rPr>
          <w:rFonts w:cs="Times New Roman" w:hint="eastAsia"/>
          <w:sz w:val="18"/>
          <w:szCs w:val="18"/>
        </w:rPr>
        <w:t>②除企业合并形成的长期股权投资以外，其他方式取得的长期股权投资，按以下方法确定投资成本：</w:t>
      </w:r>
    </w:p>
    <w:p w:rsidR="00CB63CD" w:rsidRDefault="00CB63CD">
      <w:pPr>
        <w:pStyle w:val="a3"/>
        <w:spacing w:before="0" w:beforeAutospacing="0" w:after="0" w:afterAutospacing="0" w:line="360" w:lineRule="auto"/>
        <w:ind w:firstLine="360"/>
        <w:jc w:val="both"/>
        <w:divId w:val="1464612468"/>
        <w:rPr>
          <w:rFonts w:ascii="Times New Roman" w:hAnsi="Times New Roman" w:cs="Times New Roman"/>
          <w:sz w:val="21"/>
          <w:szCs w:val="21"/>
        </w:rPr>
      </w:pPr>
      <w:r>
        <w:rPr>
          <w:rFonts w:cs="Times New Roman" w:hint="eastAsia"/>
          <w:sz w:val="18"/>
          <w:szCs w:val="18"/>
        </w:rPr>
        <w:t>A、以支付现金取得的长期股权投资，按实际支付的购买价款作为投资成本。</w:t>
      </w:r>
    </w:p>
    <w:p w:rsidR="00CB63CD" w:rsidRDefault="00CB63CD">
      <w:pPr>
        <w:pStyle w:val="a3"/>
        <w:spacing w:before="0" w:beforeAutospacing="0" w:after="0" w:afterAutospacing="0" w:line="360" w:lineRule="auto"/>
        <w:ind w:firstLine="360"/>
        <w:jc w:val="both"/>
        <w:divId w:val="1464612468"/>
        <w:rPr>
          <w:rFonts w:ascii="Times New Roman" w:hAnsi="Times New Roman" w:cs="Times New Roman"/>
          <w:sz w:val="21"/>
          <w:szCs w:val="21"/>
        </w:rPr>
      </w:pPr>
      <w:r>
        <w:rPr>
          <w:rFonts w:cs="Times New Roman" w:hint="eastAsia"/>
          <w:sz w:val="18"/>
          <w:szCs w:val="18"/>
        </w:rPr>
        <w:t>B、以发行权益性证券取得的长期股权投资，按发行权益性证券的公允价值作为投资成本。</w:t>
      </w:r>
    </w:p>
    <w:p w:rsidR="00CB63CD" w:rsidRDefault="00CB63CD">
      <w:pPr>
        <w:pStyle w:val="a3"/>
        <w:spacing w:before="0" w:beforeAutospacing="0" w:after="0" w:afterAutospacing="0" w:line="360" w:lineRule="auto"/>
        <w:ind w:firstLine="360"/>
        <w:jc w:val="both"/>
        <w:divId w:val="1464612468"/>
        <w:rPr>
          <w:rFonts w:ascii="Times New Roman" w:hAnsi="Times New Roman" w:cs="Times New Roman"/>
          <w:sz w:val="21"/>
          <w:szCs w:val="21"/>
        </w:rPr>
      </w:pPr>
      <w:r>
        <w:rPr>
          <w:rFonts w:cs="Times New Roman" w:hint="eastAsia"/>
          <w:sz w:val="18"/>
          <w:szCs w:val="18"/>
        </w:rPr>
        <w:t>③因追加投资等原因，能够对被投资单位单位施加重大影响或实施共同控制但不构成控制的，应当按照《企业会计准则第22号——金融工具确认和计量》确定的原持有股权的公允价值加上新增投资成本之和，作为改按权益法核算的初始投资成本。原持有的股权投资分类为其他权益工具投资的，其公允价值与账面价值之间的差额，以及原计入其他综合收益的累计公允价值变动应当转入改按权益法核算的留存收益。</w:t>
      </w:r>
    </w:p>
    <w:p w:rsidR="00CB63CD" w:rsidRDefault="00CB63CD">
      <w:pPr>
        <w:pStyle w:val="a3"/>
        <w:spacing w:before="0" w:beforeAutospacing="0" w:after="0" w:afterAutospacing="0" w:line="360" w:lineRule="auto"/>
        <w:ind w:firstLine="360"/>
        <w:jc w:val="both"/>
        <w:divId w:val="1464612468"/>
        <w:rPr>
          <w:rFonts w:ascii="Times New Roman" w:hAnsi="Times New Roman" w:cs="Times New Roman"/>
          <w:sz w:val="21"/>
          <w:szCs w:val="21"/>
        </w:rPr>
      </w:pPr>
      <w:r>
        <w:rPr>
          <w:rFonts w:cs="Times New Roman" w:hint="eastAsia"/>
          <w:sz w:val="18"/>
          <w:szCs w:val="18"/>
        </w:rPr>
        <w:t>（3）后续计量及损益确认方法</w:t>
      </w:r>
    </w:p>
    <w:p w:rsidR="00CB63CD" w:rsidRDefault="00CB63CD">
      <w:pPr>
        <w:pStyle w:val="a3"/>
        <w:spacing w:before="0" w:beforeAutospacing="0" w:after="0" w:afterAutospacing="0" w:line="360" w:lineRule="auto"/>
        <w:ind w:firstLine="360"/>
        <w:jc w:val="both"/>
        <w:divId w:val="1464612468"/>
        <w:rPr>
          <w:rFonts w:ascii="Times New Roman" w:hAnsi="Times New Roman" w:cs="Times New Roman"/>
          <w:sz w:val="21"/>
          <w:szCs w:val="21"/>
        </w:rPr>
      </w:pPr>
      <w:r>
        <w:rPr>
          <w:rFonts w:cs="Times New Roman" w:hint="eastAsia"/>
          <w:sz w:val="18"/>
          <w:szCs w:val="18"/>
        </w:rPr>
        <w:t>①对子公司投资</w:t>
      </w:r>
    </w:p>
    <w:p w:rsidR="00CB63CD" w:rsidRDefault="00CB63CD">
      <w:pPr>
        <w:pStyle w:val="a3"/>
        <w:spacing w:before="0" w:beforeAutospacing="0" w:after="0" w:afterAutospacing="0" w:line="360" w:lineRule="auto"/>
        <w:ind w:firstLine="360"/>
        <w:jc w:val="both"/>
        <w:divId w:val="1464612468"/>
        <w:rPr>
          <w:rFonts w:ascii="Times New Roman" w:hAnsi="Times New Roman" w:cs="Times New Roman"/>
          <w:sz w:val="21"/>
          <w:szCs w:val="21"/>
        </w:rPr>
      </w:pPr>
      <w:r>
        <w:rPr>
          <w:rFonts w:cs="Times New Roman" w:hint="eastAsia"/>
          <w:sz w:val="18"/>
          <w:szCs w:val="18"/>
        </w:rPr>
        <w:t>在合并财务报表中，对子公司投资按附注五、6进行处理。</w:t>
      </w:r>
    </w:p>
    <w:p w:rsidR="00CB63CD" w:rsidRDefault="00CB63CD">
      <w:pPr>
        <w:pStyle w:val="a3"/>
        <w:spacing w:before="0" w:beforeAutospacing="0" w:after="0" w:afterAutospacing="0" w:line="360" w:lineRule="auto"/>
        <w:ind w:firstLine="360"/>
        <w:jc w:val="both"/>
        <w:divId w:val="1464612468"/>
        <w:rPr>
          <w:rFonts w:ascii="Times New Roman" w:hAnsi="Times New Roman" w:cs="Times New Roman"/>
          <w:sz w:val="21"/>
          <w:szCs w:val="21"/>
        </w:rPr>
      </w:pPr>
      <w:r>
        <w:rPr>
          <w:rFonts w:cs="Times New Roman" w:hint="eastAsia"/>
          <w:sz w:val="18"/>
          <w:szCs w:val="18"/>
        </w:rPr>
        <w:t>在母公司财务报表中，对子公司投资采用成本法核算，在被投资单位宣告分派的现金股利或利润时，确认投资收益。</w:t>
      </w:r>
    </w:p>
    <w:p w:rsidR="00CB63CD" w:rsidRDefault="00CB63CD">
      <w:pPr>
        <w:pStyle w:val="a3"/>
        <w:spacing w:before="0" w:beforeAutospacing="0" w:after="0" w:afterAutospacing="0" w:line="360" w:lineRule="auto"/>
        <w:ind w:firstLine="360"/>
        <w:jc w:val="both"/>
        <w:divId w:val="1464612468"/>
        <w:rPr>
          <w:rFonts w:ascii="Times New Roman" w:hAnsi="Times New Roman" w:cs="Times New Roman"/>
          <w:sz w:val="21"/>
          <w:szCs w:val="21"/>
        </w:rPr>
      </w:pPr>
      <w:r>
        <w:rPr>
          <w:rFonts w:cs="Times New Roman" w:hint="eastAsia"/>
          <w:sz w:val="18"/>
          <w:szCs w:val="18"/>
        </w:rPr>
        <w:t>②对合营企业投资和对联营企业投资</w:t>
      </w:r>
    </w:p>
    <w:p w:rsidR="00CB63CD" w:rsidRDefault="00CB63CD">
      <w:pPr>
        <w:pStyle w:val="a3"/>
        <w:spacing w:before="0" w:beforeAutospacing="0" w:after="0" w:afterAutospacing="0" w:line="360" w:lineRule="auto"/>
        <w:ind w:firstLine="360"/>
        <w:jc w:val="both"/>
        <w:divId w:val="1464612468"/>
        <w:rPr>
          <w:rFonts w:ascii="Times New Roman" w:hAnsi="Times New Roman" w:cs="Times New Roman"/>
          <w:sz w:val="21"/>
          <w:szCs w:val="21"/>
        </w:rPr>
      </w:pPr>
      <w:r>
        <w:rPr>
          <w:rFonts w:cs="Times New Roman" w:hint="eastAsia"/>
          <w:sz w:val="18"/>
          <w:szCs w:val="18"/>
        </w:rPr>
        <w:lastRenderedPageBreak/>
        <w:t>对合营企业投资和对联营企业投资采用权益法核算，具体会计处理包括：</w:t>
      </w:r>
    </w:p>
    <w:p w:rsidR="00CB63CD" w:rsidRDefault="00CB63CD">
      <w:pPr>
        <w:pStyle w:val="a3"/>
        <w:spacing w:before="0" w:beforeAutospacing="0" w:after="0" w:afterAutospacing="0" w:line="360" w:lineRule="auto"/>
        <w:ind w:firstLine="360"/>
        <w:jc w:val="both"/>
        <w:divId w:val="1464612468"/>
        <w:rPr>
          <w:rFonts w:ascii="Times New Roman" w:hAnsi="Times New Roman" w:cs="Times New Roman"/>
          <w:sz w:val="21"/>
          <w:szCs w:val="21"/>
        </w:rPr>
      </w:pPr>
      <w:r>
        <w:rPr>
          <w:rFonts w:cs="Times New Roman" w:hint="eastAsia"/>
          <w:sz w:val="18"/>
          <w:szCs w:val="18"/>
        </w:rPr>
        <w:t>对于初始投资成本大于投资时应享有被投资单位可辨认净资产公允价值份额的，其差额包含在长期股权投资成本中；对于初始投资成本小于投资时应享有被投资单位可辨认净资产公允价值份额的，其差额计入当期损益，同时调整长期股权投资成本。</w:t>
      </w:r>
    </w:p>
    <w:p w:rsidR="00CB63CD" w:rsidRDefault="00CB63CD">
      <w:pPr>
        <w:pStyle w:val="a3"/>
        <w:spacing w:before="0" w:beforeAutospacing="0" w:after="0" w:afterAutospacing="0" w:line="360" w:lineRule="auto"/>
        <w:ind w:firstLine="360"/>
        <w:jc w:val="both"/>
        <w:divId w:val="1464612468"/>
        <w:rPr>
          <w:rFonts w:ascii="Times New Roman" w:hAnsi="Times New Roman" w:cs="Times New Roman"/>
          <w:sz w:val="21"/>
          <w:szCs w:val="21"/>
        </w:rPr>
      </w:pPr>
      <w:r>
        <w:rPr>
          <w:rFonts w:cs="Times New Roman" w:hint="eastAsia"/>
          <w:sz w:val="18"/>
          <w:szCs w:val="18"/>
        </w:rPr>
        <w:t>取得对合营企业投资和对联营企业投资后，按照应享有或应分担的被投资单位实现的净损益和其他综合收益的份额，分别确认投资损益和其他综合收益并调整长期股权投资的账面价值；按照被投资单位宣告分派的现金股利或利润应分得的部分，相应减少长期股权投资的账面价值。</w:t>
      </w:r>
    </w:p>
    <w:p w:rsidR="00CB63CD" w:rsidRDefault="00CB63CD">
      <w:pPr>
        <w:pStyle w:val="a3"/>
        <w:spacing w:before="0" w:beforeAutospacing="0" w:after="0" w:afterAutospacing="0" w:line="360" w:lineRule="auto"/>
        <w:ind w:firstLine="360"/>
        <w:jc w:val="both"/>
        <w:divId w:val="1464612468"/>
        <w:rPr>
          <w:rFonts w:ascii="Times New Roman" w:hAnsi="Times New Roman" w:cs="Times New Roman"/>
          <w:sz w:val="21"/>
          <w:szCs w:val="21"/>
        </w:rPr>
      </w:pPr>
      <w:r>
        <w:rPr>
          <w:rFonts w:cs="Times New Roman" w:hint="eastAsia"/>
          <w:sz w:val="18"/>
          <w:szCs w:val="18"/>
        </w:rPr>
        <w:t>在计算应享有或应分担的被投资单位实现的净损益的份额时，以取得投资时被投资单位可辨认净资产的公允价值为基础确定，对于被投资单位的会计政策或会计期间与公司不同的，权益法核算时按照公司的会计政策或会计期间对被投资单位的财务报表进行必要调整。与合营企业和联营企业之间内部交易产生的未实现损益按照持股比例计算归属于公司的部分，在权益法核算时予以抵消。内部交易产生的未实现损失，有证据表明该损失是相关资产减值损失的，则全额确认该损失。</w:t>
      </w:r>
    </w:p>
    <w:p w:rsidR="00CB63CD" w:rsidRDefault="00CB63CD">
      <w:pPr>
        <w:pStyle w:val="a3"/>
        <w:spacing w:before="0" w:beforeAutospacing="0" w:after="0" w:afterAutospacing="0" w:line="360" w:lineRule="auto"/>
        <w:ind w:firstLine="360"/>
        <w:jc w:val="both"/>
        <w:divId w:val="1464612468"/>
        <w:rPr>
          <w:rFonts w:ascii="Times New Roman" w:hAnsi="Times New Roman" w:cs="Times New Roman"/>
          <w:sz w:val="21"/>
          <w:szCs w:val="21"/>
        </w:rPr>
      </w:pPr>
      <w:r>
        <w:rPr>
          <w:rFonts w:cs="Times New Roman" w:hint="eastAsia"/>
          <w:sz w:val="18"/>
          <w:szCs w:val="18"/>
        </w:rPr>
        <w:t>对合营企业或联营企业发生的净亏损，除公司负有承担额外损失义务外，以长期股权投资的账面价值以及其他实质上构成对被投资单位净投资的长期权益减记至零为限。被投资企业以后实现净利润的，在收益分享额弥补未确认的亏损分担额后，恢复确认收益分享额。</w:t>
      </w:r>
    </w:p>
    <w:p w:rsidR="00CB63CD" w:rsidRDefault="00CB63CD">
      <w:pPr>
        <w:pStyle w:val="a3"/>
        <w:spacing w:before="0" w:beforeAutospacing="0" w:after="0" w:afterAutospacing="0" w:line="360" w:lineRule="auto"/>
        <w:ind w:firstLine="360"/>
        <w:jc w:val="both"/>
        <w:divId w:val="1464612468"/>
        <w:rPr>
          <w:rFonts w:ascii="Times New Roman" w:hAnsi="Times New Roman" w:cs="Times New Roman"/>
          <w:sz w:val="21"/>
          <w:szCs w:val="21"/>
        </w:rPr>
      </w:pPr>
      <w:r>
        <w:rPr>
          <w:rFonts w:cs="Times New Roman" w:hint="eastAsia"/>
          <w:sz w:val="18"/>
          <w:szCs w:val="18"/>
        </w:rPr>
        <w:t>对于被投资单位除净损益、其他综合收益和利润分配以外所有者权益的其他变动，调整长期股权投资的账面价值并计入资本公积。处置该项投资时，将原计入资本公积的部分按相应比例转入当期损益。</w:t>
      </w:r>
    </w:p>
    <w:p w:rsidR="00CB63CD" w:rsidRDefault="00CB63CD">
      <w:pPr>
        <w:pStyle w:val="a3"/>
        <w:spacing w:before="0" w:beforeAutospacing="0" w:after="0" w:afterAutospacing="0" w:line="360" w:lineRule="auto"/>
        <w:ind w:firstLine="360"/>
        <w:jc w:val="both"/>
        <w:divId w:val="1464612468"/>
        <w:rPr>
          <w:rFonts w:ascii="Times New Roman" w:hAnsi="Times New Roman" w:cs="Times New Roman"/>
          <w:sz w:val="21"/>
          <w:szCs w:val="21"/>
        </w:rPr>
      </w:pPr>
      <w:r>
        <w:rPr>
          <w:rFonts w:cs="Times New Roman" w:hint="eastAsia"/>
          <w:sz w:val="18"/>
          <w:szCs w:val="18"/>
        </w:rPr>
        <w:t>（4）处置长期股权投资，其账面价值与实际取得价款的差额计入当期损益，采用权益法核算的长期股权投资，处置时，采用与被投资单位直接处置相关资产或负债相同的基础，按相应比例对原计入其他综合收益的部分进行会计处理。</w:t>
      </w:r>
    </w:p>
    <w:p w:rsidR="00CB63CD" w:rsidRDefault="00CB63CD">
      <w:pPr>
        <w:pStyle w:val="a3"/>
        <w:spacing w:before="0" w:beforeAutospacing="0" w:after="0" w:afterAutospacing="0" w:line="360" w:lineRule="auto"/>
        <w:ind w:firstLine="360"/>
        <w:jc w:val="both"/>
        <w:divId w:val="1464612468"/>
        <w:rPr>
          <w:rFonts w:ascii="Times New Roman" w:hAnsi="Times New Roman" w:cs="Times New Roman"/>
          <w:sz w:val="21"/>
          <w:szCs w:val="21"/>
        </w:rPr>
      </w:pPr>
      <w:r>
        <w:rPr>
          <w:rFonts w:cs="Times New Roman" w:hint="eastAsia"/>
          <w:sz w:val="18"/>
          <w:szCs w:val="18"/>
        </w:rPr>
        <w:t>因处置部分权益性投资等原因丧失了对被投资单位共同控制或重大影响的，处置后的剩余股权按《企业会计准则第22号——金融工具确认和计量》核算，其在丧失共同控制或重大影响之日的公允价值与账面价值间的差额计入当期损益。原股权投资因采用权益法核算而确认的其他综合收益，应当在终止采用权益法核算时采用与被投资单位直接处置相关资产或负债相同的基础进行会计处理。</w:t>
      </w:r>
    </w:p>
    <w:p w:rsidR="00CB63CD" w:rsidRDefault="00CB63CD">
      <w:pPr>
        <w:pStyle w:val="a3"/>
        <w:spacing w:before="0" w:beforeAutospacing="0" w:after="0" w:afterAutospacing="0" w:line="360" w:lineRule="auto"/>
        <w:ind w:firstLine="360"/>
        <w:jc w:val="both"/>
        <w:divId w:val="1464612468"/>
        <w:rPr>
          <w:rFonts w:ascii="Times New Roman" w:hAnsi="Times New Roman" w:cs="Times New Roman"/>
          <w:sz w:val="21"/>
          <w:szCs w:val="21"/>
        </w:rPr>
      </w:pPr>
      <w:r>
        <w:rPr>
          <w:rFonts w:cs="Times New Roman" w:hint="eastAsia"/>
          <w:sz w:val="18"/>
          <w:szCs w:val="18"/>
        </w:rPr>
        <w:t>因处置部分权益性投资等原因丧失了对被投资单位控制的，在编制个别财务报表时，处置后的剩余股权能够对被投资单位实施共同控制或重大影响的，改按权益法核算，并对剩余股权视同自取得时即采用权益法核算进行调整。处置后剩余股权不能对被投资单位实施共同控制或重大影响的，按《企业会计准则第22号——金融工具确认和计量》的有关规定进行会计处理，其在丧失控制权之日的公允价值与账面价值间的差额计入当期损益。</w:t>
      </w:r>
    </w:p>
    <w:p w:rsidR="00F068AD" w:rsidRDefault="00CB63CD">
      <w:pPr>
        <w:pStyle w:val="3"/>
        <w:spacing w:line="280" w:lineRule="exact"/>
        <w:jc w:val="left"/>
        <w:rPr>
          <w:rFonts w:ascii="宋体" w:hAnsi="宋体" w:cs="宋体"/>
          <w:b/>
          <w:bCs/>
        </w:rPr>
      </w:pPr>
      <w:bookmarkStart w:id="119" w:name="_Toc989008"/>
      <w:r>
        <w:rPr>
          <w:rFonts w:ascii="宋体" w:hAnsi="宋体" w:cs="宋体"/>
          <w:b/>
          <w:bCs/>
        </w:rPr>
        <w:t>18、投资性房地产</w:t>
      </w:r>
      <w:bookmarkEnd w:id="119"/>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投资性房地产计量模式</w:t>
      </w:r>
    </w:p>
    <w:p w:rsidR="00F068AD" w:rsidRDefault="00CB63CD">
      <w:pPr>
        <w:spacing w:line="240" w:lineRule="exact"/>
        <w:rPr>
          <w:rFonts w:ascii="宋体" w:eastAsia="宋体" w:hAnsi="宋体" w:cs="宋体"/>
          <w:sz w:val="18"/>
          <w:szCs w:val="18"/>
        </w:rPr>
      </w:pPr>
      <w:r>
        <w:rPr>
          <w:rFonts w:ascii="宋体" w:eastAsia="宋体" w:hAnsi="宋体" w:cs="宋体"/>
          <w:sz w:val="18"/>
          <w:szCs w:val="18"/>
        </w:rPr>
        <w:lastRenderedPageBreak/>
        <w:t>成本法计量</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折旧或摊销方法</w:t>
      </w:r>
    </w:p>
    <w:p w:rsidR="00CB63CD" w:rsidRDefault="00CB63CD">
      <w:pPr>
        <w:pStyle w:val="a3"/>
        <w:spacing w:before="0" w:beforeAutospacing="0" w:after="0" w:afterAutospacing="0" w:line="360" w:lineRule="auto"/>
        <w:ind w:firstLine="360"/>
        <w:jc w:val="both"/>
        <w:divId w:val="514462607"/>
        <w:rPr>
          <w:rFonts w:ascii="Times New Roman" w:hAnsi="Times New Roman" w:cs="Times New Roman"/>
          <w:sz w:val="21"/>
          <w:szCs w:val="21"/>
        </w:rPr>
      </w:pPr>
      <w:r>
        <w:rPr>
          <w:rFonts w:cs="Times New Roman" w:hint="eastAsia"/>
          <w:sz w:val="18"/>
          <w:szCs w:val="18"/>
        </w:rPr>
        <w:t>公司采用成本模式对投资性房地产进行后续计量，在使用寿命内扣除预计净残值后按年限平均法计提折旧或进行摊销。</w:t>
      </w:r>
    </w:p>
    <w:p w:rsidR="00F068AD" w:rsidRDefault="00CB63CD">
      <w:pPr>
        <w:pStyle w:val="3"/>
        <w:spacing w:line="280" w:lineRule="exact"/>
        <w:jc w:val="left"/>
        <w:rPr>
          <w:rFonts w:ascii="宋体" w:hAnsi="宋体" w:cs="宋体"/>
          <w:b/>
          <w:bCs/>
        </w:rPr>
      </w:pPr>
      <w:bookmarkStart w:id="120" w:name="_Toc989009"/>
      <w:r>
        <w:rPr>
          <w:rFonts w:ascii="宋体" w:hAnsi="宋体" w:cs="宋体"/>
          <w:b/>
          <w:bCs/>
        </w:rPr>
        <w:t>19、固定资产</w:t>
      </w:r>
      <w:bookmarkEnd w:id="120"/>
    </w:p>
    <w:p w:rsidR="00F068AD" w:rsidRDefault="00CB63CD">
      <w:pPr>
        <w:keepNext/>
        <w:keepLines/>
        <w:spacing w:before="300" w:after="300" w:line="280" w:lineRule="exact"/>
        <w:outlineLvl w:val="3"/>
        <w:rPr>
          <w:rFonts w:ascii="宋体" w:eastAsia="宋体" w:hAnsi="宋体" w:cs="宋体"/>
          <w:b/>
          <w:bCs/>
          <w:szCs w:val="21"/>
        </w:rPr>
      </w:pPr>
      <w:bookmarkStart w:id="121" w:name="_Toc989010"/>
      <w:r>
        <w:rPr>
          <w:rFonts w:ascii="宋体" w:eastAsia="宋体" w:hAnsi="宋体" w:cs="宋体"/>
          <w:b/>
          <w:bCs/>
          <w:szCs w:val="21"/>
        </w:rPr>
        <w:t>（1） 确认条件</w:t>
      </w:r>
      <w:bookmarkEnd w:id="121"/>
    </w:p>
    <w:p w:rsidR="00CB63CD" w:rsidRDefault="00CB63CD">
      <w:pPr>
        <w:pStyle w:val="a3"/>
        <w:spacing w:line="240" w:lineRule="atLeast"/>
        <w:divId w:val="1373536008"/>
        <w:rPr>
          <w:sz w:val="18"/>
          <w:szCs w:val="18"/>
        </w:rPr>
      </w:pPr>
      <w:r>
        <w:rPr>
          <w:rFonts w:hint="eastAsia"/>
          <w:sz w:val="18"/>
          <w:szCs w:val="18"/>
        </w:rPr>
        <w:t>固定资产是指为生产商品、提供劳务、出租或经营管理而持有的，使用寿命超过一个会计年度的有形资产。</w:t>
      </w:r>
    </w:p>
    <w:p w:rsidR="00F068AD" w:rsidRDefault="00CB63CD">
      <w:pPr>
        <w:keepNext/>
        <w:keepLines/>
        <w:spacing w:before="300" w:after="300" w:line="280" w:lineRule="exact"/>
        <w:outlineLvl w:val="3"/>
        <w:rPr>
          <w:rFonts w:ascii="宋体" w:eastAsia="宋体" w:hAnsi="宋体" w:cs="宋体"/>
          <w:b/>
          <w:bCs/>
          <w:szCs w:val="21"/>
        </w:rPr>
      </w:pPr>
      <w:bookmarkStart w:id="122" w:name="_Toc989011"/>
      <w:r>
        <w:rPr>
          <w:rFonts w:ascii="宋体" w:eastAsia="宋体" w:hAnsi="宋体" w:cs="宋体"/>
          <w:b/>
          <w:bCs/>
          <w:szCs w:val="21"/>
        </w:rPr>
        <w:t>（2） 折旧方法</w:t>
      </w:r>
      <w:bookmarkEnd w:id="122"/>
    </w:p>
    <w:p w:rsidR="00F068AD" w:rsidRDefault="00F068AD">
      <w:pPr>
        <w:spacing w:line="0" w:lineRule="atLeast"/>
      </w:pP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折旧方法</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折旧年限</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残值率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年折旧率</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房屋建筑物</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20-30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3</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4.85-3.23</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机器设备</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10-12</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3</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9.70-8.08</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运输设备</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5-8</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3</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19.4-12.13</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其他设备</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3</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19.40</w:t>
            </w:r>
          </w:p>
        </w:tc>
      </w:tr>
    </w:tbl>
    <w:p w:rsidR="00CB63CD" w:rsidRDefault="00CB63CD">
      <w:pPr>
        <w:pStyle w:val="a3"/>
        <w:spacing w:before="0" w:beforeAutospacing="0" w:after="0" w:afterAutospacing="0" w:line="360" w:lineRule="auto"/>
        <w:ind w:firstLine="360"/>
        <w:jc w:val="both"/>
        <w:divId w:val="102381216"/>
        <w:rPr>
          <w:rFonts w:ascii="Times New Roman" w:hAnsi="Times New Roman" w:cs="Times New Roman"/>
          <w:sz w:val="21"/>
          <w:szCs w:val="21"/>
        </w:rPr>
      </w:pPr>
      <w:r>
        <w:rPr>
          <w:rFonts w:cs="Times New Roman" w:hint="eastAsia"/>
          <w:sz w:val="18"/>
          <w:szCs w:val="18"/>
        </w:rPr>
        <w:t>公司至少在每年年度终了对固定资产的使用寿命、预计净残值和折旧方法进行复核。</w:t>
      </w:r>
    </w:p>
    <w:p w:rsidR="00F068AD" w:rsidRDefault="00CB63CD">
      <w:pPr>
        <w:pStyle w:val="3"/>
        <w:spacing w:line="280" w:lineRule="exact"/>
        <w:jc w:val="left"/>
        <w:rPr>
          <w:rFonts w:ascii="宋体" w:hAnsi="宋体" w:cs="宋体"/>
          <w:b/>
          <w:bCs/>
        </w:rPr>
      </w:pPr>
      <w:bookmarkStart w:id="123" w:name="_Toc989012"/>
      <w:r>
        <w:rPr>
          <w:rFonts w:ascii="宋体" w:hAnsi="宋体" w:cs="宋体"/>
          <w:b/>
          <w:bCs/>
        </w:rPr>
        <w:t>20、在建工程</w:t>
      </w:r>
      <w:bookmarkEnd w:id="123"/>
    </w:p>
    <w:p w:rsidR="00CB63CD" w:rsidRDefault="00CB63CD">
      <w:pPr>
        <w:pStyle w:val="a3"/>
        <w:spacing w:before="0" w:beforeAutospacing="0" w:after="0" w:afterAutospacing="0" w:line="360" w:lineRule="auto"/>
        <w:ind w:firstLine="360"/>
        <w:jc w:val="both"/>
        <w:divId w:val="71127030"/>
        <w:rPr>
          <w:rFonts w:ascii="Times New Roman" w:hAnsi="Times New Roman" w:cs="Times New Roman"/>
          <w:sz w:val="21"/>
          <w:szCs w:val="21"/>
        </w:rPr>
      </w:pPr>
      <w:r>
        <w:rPr>
          <w:rFonts w:cs="Times New Roman" w:hint="eastAsia"/>
          <w:sz w:val="18"/>
          <w:szCs w:val="18"/>
        </w:rPr>
        <w:t>在建工程在达到预定可使用状态时，按实际发生的全部支出转入固定资产核算。</w:t>
      </w:r>
    </w:p>
    <w:p w:rsidR="00F068AD" w:rsidRDefault="00CB63CD">
      <w:pPr>
        <w:pStyle w:val="3"/>
        <w:spacing w:line="280" w:lineRule="exact"/>
        <w:jc w:val="left"/>
        <w:rPr>
          <w:rFonts w:ascii="宋体" w:hAnsi="宋体" w:cs="宋体"/>
          <w:b/>
          <w:bCs/>
        </w:rPr>
      </w:pPr>
      <w:bookmarkStart w:id="124" w:name="_Toc989013"/>
      <w:r>
        <w:rPr>
          <w:rFonts w:ascii="宋体" w:hAnsi="宋体" w:cs="宋体"/>
          <w:b/>
          <w:bCs/>
        </w:rPr>
        <w:t>21、借款费用</w:t>
      </w:r>
      <w:bookmarkEnd w:id="124"/>
    </w:p>
    <w:p w:rsidR="00CB63CD" w:rsidRDefault="00CB63CD">
      <w:pPr>
        <w:pStyle w:val="a3"/>
        <w:spacing w:before="0" w:beforeAutospacing="0" w:after="0" w:afterAutospacing="0" w:line="360" w:lineRule="auto"/>
        <w:ind w:firstLine="360"/>
        <w:jc w:val="both"/>
        <w:divId w:val="886646013"/>
        <w:rPr>
          <w:rFonts w:ascii="Times New Roman" w:hAnsi="Times New Roman" w:cs="Times New Roman"/>
          <w:sz w:val="21"/>
          <w:szCs w:val="21"/>
        </w:rPr>
      </w:pPr>
      <w:r>
        <w:rPr>
          <w:rFonts w:cs="Times New Roman" w:hint="eastAsia"/>
          <w:sz w:val="18"/>
          <w:szCs w:val="18"/>
        </w:rPr>
        <w:t>（1）借款费用包括借款利息、折价或溢价的摊销、辅助费用以及因外币借款而发生的汇兑差额等。可直接归属于符合资本化条件的资产的购建或者生产的借款费用，予以资本化，计入相关资产成本；其他借款费用计入当期损益。</w:t>
      </w:r>
    </w:p>
    <w:p w:rsidR="00CB63CD" w:rsidRDefault="00CB63CD">
      <w:pPr>
        <w:pStyle w:val="a3"/>
        <w:spacing w:before="0" w:beforeAutospacing="0" w:after="0" w:afterAutospacing="0" w:line="360" w:lineRule="auto"/>
        <w:ind w:firstLine="360"/>
        <w:jc w:val="both"/>
        <w:divId w:val="886646013"/>
        <w:rPr>
          <w:rFonts w:ascii="Times New Roman" w:hAnsi="Times New Roman" w:cs="Times New Roman"/>
          <w:sz w:val="21"/>
          <w:szCs w:val="21"/>
        </w:rPr>
      </w:pPr>
      <w:r>
        <w:rPr>
          <w:rFonts w:cs="Times New Roman" w:hint="eastAsia"/>
          <w:sz w:val="18"/>
          <w:szCs w:val="18"/>
        </w:rPr>
        <w:t>（2）当资产支出已经发生、借款费用已经发生且为使资产达到预定可使用或者可销售状态所必要的购建或者生产活动已经开始时，开始借款费用的资本化。符合资本化条件的资产在购建或者生产过程中发生非正常中断、且中断时间连续超过 3个月的，暂停借款费用的资本化。当所购建或者生产的资产达到预定可使用或者可销售状态时，停止借款费用的资本化，以后发生的借款费用计入当期损益。</w:t>
      </w:r>
    </w:p>
    <w:p w:rsidR="00CB63CD" w:rsidRDefault="00CB63CD">
      <w:pPr>
        <w:pStyle w:val="a3"/>
        <w:spacing w:before="0" w:beforeAutospacing="0" w:after="0" w:afterAutospacing="0" w:line="360" w:lineRule="auto"/>
        <w:ind w:firstLine="360"/>
        <w:jc w:val="both"/>
        <w:divId w:val="886646013"/>
        <w:rPr>
          <w:rFonts w:ascii="Times New Roman" w:hAnsi="Times New Roman" w:cs="Times New Roman"/>
          <w:sz w:val="21"/>
          <w:szCs w:val="21"/>
        </w:rPr>
      </w:pPr>
      <w:r>
        <w:rPr>
          <w:rFonts w:cs="Times New Roman" w:hint="eastAsia"/>
          <w:sz w:val="18"/>
          <w:szCs w:val="18"/>
        </w:rPr>
        <w:t>（3）借款费用资本化金额的计算方法</w:t>
      </w:r>
    </w:p>
    <w:p w:rsidR="00CB63CD" w:rsidRDefault="00CB63CD">
      <w:pPr>
        <w:pStyle w:val="a3"/>
        <w:spacing w:before="0" w:beforeAutospacing="0" w:after="0" w:afterAutospacing="0" w:line="360" w:lineRule="auto"/>
        <w:ind w:firstLine="360"/>
        <w:jc w:val="both"/>
        <w:divId w:val="886646013"/>
        <w:rPr>
          <w:rFonts w:ascii="Times New Roman" w:hAnsi="Times New Roman" w:cs="Times New Roman"/>
          <w:sz w:val="21"/>
          <w:szCs w:val="21"/>
        </w:rPr>
      </w:pPr>
      <w:r>
        <w:rPr>
          <w:rFonts w:cs="Times New Roman" w:hint="eastAsia"/>
          <w:sz w:val="18"/>
          <w:szCs w:val="18"/>
        </w:rPr>
        <w:t>①为购建或者生产符合资本化条件的资产而借入的专门借款所发生的借款费用（包括借款利息、折价或溢价的摊销、辅助费用、外币专门借款本金和利息的汇兑差额），其资本化金额为在资本化期间内专门借款实际发生的借款费用减去尚未动用的借款资金存入银行取得的利息收入或进行暂时性投资取得的投资收益后的金额。</w:t>
      </w:r>
    </w:p>
    <w:p w:rsidR="00CB63CD" w:rsidRDefault="00CB63CD">
      <w:pPr>
        <w:pStyle w:val="a3"/>
        <w:spacing w:before="0" w:beforeAutospacing="0" w:after="0" w:afterAutospacing="0" w:line="360" w:lineRule="auto"/>
        <w:ind w:firstLine="360"/>
        <w:jc w:val="both"/>
        <w:divId w:val="886646013"/>
        <w:rPr>
          <w:rFonts w:ascii="Times New Roman" w:hAnsi="Times New Roman" w:cs="Times New Roman"/>
          <w:sz w:val="21"/>
          <w:szCs w:val="21"/>
        </w:rPr>
      </w:pPr>
      <w:r>
        <w:rPr>
          <w:rFonts w:cs="Times New Roman" w:hint="eastAsia"/>
          <w:sz w:val="18"/>
          <w:szCs w:val="18"/>
        </w:rPr>
        <w:lastRenderedPageBreak/>
        <w:t>②为购建或者生产符合资本化条件的资产而占用的一般借款所发生的借款费用（包括借款利息、折价或溢价的摊销），其资本化金额根据在资本化期间内累计资产支出超过专门借款部分的资产支出加权平均数乘以所占用一般借款的资本化率计算确定。</w:t>
      </w:r>
    </w:p>
    <w:p w:rsidR="00F068AD" w:rsidRDefault="00CB63CD">
      <w:pPr>
        <w:pStyle w:val="3"/>
        <w:spacing w:line="280" w:lineRule="exact"/>
        <w:jc w:val="left"/>
        <w:rPr>
          <w:rFonts w:ascii="宋体" w:hAnsi="宋体" w:cs="宋体"/>
          <w:b/>
          <w:bCs/>
        </w:rPr>
      </w:pPr>
      <w:bookmarkStart w:id="125" w:name="_Toc989014"/>
      <w:r>
        <w:rPr>
          <w:rFonts w:ascii="宋体" w:hAnsi="宋体" w:cs="宋体"/>
          <w:b/>
          <w:bCs/>
        </w:rPr>
        <w:t>22、使用权资产</w:t>
      </w:r>
      <w:bookmarkEnd w:id="125"/>
    </w:p>
    <w:p w:rsidR="00CB63CD" w:rsidRDefault="00CB63CD">
      <w:pPr>
        <w:pStyle w:val="a3"/>
        <w:spacing w:before="0" w:beforeAutospacing="0" w:after="0" w:afterAutospacing="0" w:line="360" w:lineRule="auto"/>
        <w:ind w:firstLine="480"/>
        <w:jc w:val="both"/>
        <w:divId w:val="544685794"/>
        <w:rPr>
          <w:rFonts w:ascii="Times New Roman" w:hAnsi="Times New Roman" w:cs="Times New Roman"/>
          <w:sz w:val="21"/>
          <w:szCs w:val="21"/>
        </w:rPr>
      </w:pPr>
      <w:r>
        <w:rPr>
          <w:rFonts w:cs="Times New Roman" w:hint="eastAsia"/>
          <w:sz w:val="18"/>
          <w:szCs w:val="18"/>
        </w:rPr>
        <w:t>使用权资产，是指承租人可在租赁期内使用租赁资产的权利。</w:t>
      </w:r>
    </w:p>
    <w:p w:rsidR="00CB63CD" w:rsidRDefault="00CB63CD">
      <w:pPr>
        <w:pStyle w:val="a3"/>
        <w:spacing w:before="0" w:beforeAutospacing="0" w:after="0" w:afterAutospacing="0" w:line="360" w:lineRule="auto"/>
        <w:ind w:firstLine="480"/>
        <w:jc w:val="both"/>
        <w:divId w:val="544685794"/>
        <w:rPr>
          <w:rFonts w:ascii="Times New Roman" w:hAnsi="Times New Roman" w:cs="Times New Roman"/>
          <w:sz w:val="21"/>
          <w:szCs w:val="21"/>
        </w:rPr>
      </w:pPr>
      <w:r>
        <w:rPr>
          <w:rFonts w:cs="Times New Roman" w:hint="eastAsia"/>
          <w:sz w:val="18"/>
          <w:szCs w:val="18"/>
        </w:rPr>
        <w:t>本公司按照成本对使用权资产进行初始计量，该成本包括：（1）租赁负债的初始计量金额；（2）在租赁期开始日或之前支付的租赁付款额，存在租赁激励的，扣除已享受的租赁激励相关金额；（3）承租人发生的初始直接费用；（4）承租人为拆卸及移除租赁资产、复原租赁资产所在场地或将租赁资产恢复至租赁条款约定状态预计将发生的成本。</w:t>
      </w:r>
    </w:p>
    <w:p w:rsidR="00CB63CD" w:rsidRDefault="00CB63CD">
      <w:pPr>
        <w:pStyle w:val="a3"/>
        <w:spacing w:before="0" w:beforeAutospacing="0" w:after="0" w:afterAutospacing="0" w:line="360" w:lineRule="auto"/>
        <w:ind w:firstLine="480"/>
        <w:jc w:val="both"/>
        <w:divId w:val="544685794"/>
        <w:rPr>
          <w:rFonts w:ascii="Times New Roman" w:hAnsi="Times New Roman" w:cs="Times New Roman"/>
          <w:sz w:val="21"/>
          <w:szCs w:val="21"/>
        </w:rPr>
      </w:pPr>
      <w:r>
        <w:rPr>
          <w:rFonts w:cs="Times New Roman" w:hint="eastAsia"/>
          <w:sz w:val="18"/>
          <w:szCs w:val="18"/>
        </w:rPr>
        <w:t>本公司参照《企业会计准则第4号——固定资产》有关折旧规定，对使用权资产计提折旧。能够合理确定租赁期届满时取得租赁资产所有权的，在租赁资产剩余使用寿命内计提折旧。无法合理确定租赁期届满时能够取得租赁资产所有权的，在租赁期与租赁资产剩余使用寿命两者孰短的期间内计提折旧。</w:t>
      </w:r>
    </w:p>
    <w:p w:rsidR="00CB63CD" w:rsidRDefault="00CB63CD">
      <w:pPr>
        <w:pStyle w:val="a3"/>
        <w:spacing w:before="0" w:beforeAutospacing="0" w:after="0" w:afterAutospacing="0" w:line="360" w:lineRule="auto"/>
        <w:ind w:firstLine="480"/>
        <w:jc w:val="both"/>
        <w:divId w:val="544685794"/>
        <w:rPr>
          <w:rFonts w:ascii="Times New Roman" w:hAnsi="Times New Roman" w:cs="Times New Roman"/>
          <w:sz w:val="21"/>
          <w:szCs w:val="21"/>
        </w:rPr>
      </w:pPr>
      <w:r>
        <w:rPr>
          <w:rFonts w:cs="Times New Roman" w:hint="eastAsia"/>
          <w:sz w:val="18"/>
          <w:szCs w:val="18"/>
        </w:rPr>
        <w:t>本公司按照变动后的租赁付款额的现值重新计量租赁负债，并相应调整使用权资产的账面价值时，如使用权资产账面价值已调减至零，但租赁负债仍需进一步调减的，将剩余金额计入当期损益。</w:t>
      </w:r>
    </w:p>
    <w:p w:rsidR="00F068AD" w:rsidRDefault="00CB63CD">
      <w:pPr>
        <w:pStyle w:val="3"/>
        <w:spacing w:line="280" w:lineRule="exact"/>
        <w:jc w:val="left"/>
        <w:rPr>
          <w:rFonts w:ascii="宋体" w:hAnsi="宋体" w:cs="宋体"/>
          <w:b/>
          <w:bCs/>
        </w:rPr>
      </w:pPr>
      <w:bookmarkStart w:id="126" w:name="_Toc989015"/>
      <w:r>
        <w:rPr>
          <w:rFonts w:ascii="宋体" w:hAnsi="宋体" w:cs="宋体"/>
          <w:b/>
          <w:bCs/>
        </w:rPr>
        <w:t>23、无形资产</w:t>
      </w:r>
      <w:bookmarkEnd w:id="126"/>
    </w:p>
    <w:p w:rsidR="00F068AD" w:rsidRDefault="00CB63CD">
      <w:pPr>
        <w:keepNext/>
        <w:keepLines/>
        <w:spacing w:before="300" w:after="300" w:line="280" w:lineRule="exact"/>
        <w:outlineLvl w:val="3"/>
        <w:rPr>
          <w:rFonts w:ascii="宋体" w:eastAsia="宋体" w:hAnsi="宋体" w:cs="宋体"/>
          <w:b/>
          <w:bCs/>
          <w:szCs w:val="21"/>
        </w:rPr>
      </w:pPr>
      <w:bookmarkStart w:id="127" w:name="_Toc989016"/>
      <w:r>
        <w:rPr>
          <w:rFonts w:ascii="宋体" w:eastAsia="宋体" w:hAnsi="宋体" w:cs="宋体"/>
          <w:b/>
          <w:bCs/>
          <w:szCs w:val="21"/>
        </w:rPr>
        <w:t>（1） 计价方法、使用寿命、减值测试</w:t>
      </w:r>
      <w:bookmarkEnd w:id="127"/>
    </w:p>
    <w:p w:rsidR="00CB63CD" w:rsidRDefault="00CB63CD">
      <w:pPr>
        <w:pStyle w:val="a3"/>
        <w:spacing w:before="0" w:beforeAutospacing="0" w:after="0" w:afterAutospacing="0" w:line="360" w:lineRule="auto"/>
        <w:ind w:firstLine="360"/>
        <w:jc w:val="both"/>
        <w:divId w:val="1614633611"/>
        <w:rPr>
          <w:rFonts w:ascii="Times New Roman" w:hAnsi="Times New Roman" w:cs="Times New Roman"/>
          <w:sz w:val="21"/>
          <w:szCs w:val="21"/>
        </w:rPr>
      </w:pPr>
      <w:r>
        <w:rPr>
          <w:rFonts w:cs="Times New Roman" w:hint="eastAsia"/>
          <w:sz w:val="18"/>
          <w:szCs w:val="18"/>
        </w:rPr>
        <w:t>（1）无形资产按照取得时的成本进行初始计量。</w:t>
      </w:r>
    </w:p>
    <w:p w:rsidR="00CB63CD" w:rsidRDefault="00CB63CD">
      <w:pPr>
        <w:pStyle w:val="a3"/>
        <w:spacing w:before="0" w:beforeAutospacing="0" w:after="0" w:afterAutospacing="0" w:line="360" w:lineRule="auto"/>
        <w:ind w:firstLine="360"/>
        <w:jc w:val="both"/>
        <w:divId w:val="1614633611"/>
        <w:rPr>
          <w:rFonts w:ascii="Times New Roman" w:hAnsi="Times New Roman" w:cs="Times New Roman"/>
          <w:sz w:val="21"/>
          <w:szCs w:val="21"/>
        </w:rPr>
      </w:pPr>
      <w:r>
        <w:rPr>
          <w:rFonts w:cs="Times New Roman" w:hint="eastAsia"/>
          <w:sz w:val="18"/>
          <w:szCs w:val="18"/>
        </w:rPr>
        <w:t>（2）无形资产的摊销方法</w:t>
      </w:r>
    </w:p>
    <w:p w:rsidR="00CB63CD" w:rsidRDefault="00CB63CD">
      <w:pPr>
        <w:pStyle w:val="a3"/>
        <w:spacing w:before="0" w:beforeAutospacing="0" w:after="0" w:afterAutospacing="0" w:line="360" w:lineRule="auto"/>
        <w:ind w:firstLine="360"/>
        <w:jc w:val="both"/>
        <w:divId w:val="1614633611"/>
        <w:rPr>
          <w:rFonts w:ascii="Times New Roman" w:hAnsi="Times New Roman" w:cs="Times New Roman"/>
          <w:sz w:val="21"/>
          <w:szCs w:val="21"/>
        </w:rPr>
      </w:pPr>
      <w:r>
        <w:rPr>
          <w:rFonts w:cs="Times New Roman" w:hint="eastAsia"/>
          <w:sz w:val="18"/>
          <w:szCs w:val="18"/>
        </w:rPr>
        <w:t>①对于使用寿命有限的无形资产，在使用寿命期限内，采用直线法摊销。</w:t>
      </w:r>
    </w:p>
    <w:tbl>
      <w:tblPr>
        <w:tblW w:w="0" w:type="auto"/>
        <w:jc w:val="center"/>
        <w:tblInd w:w="-1495" w:type="dxa"/>
        <w:tblCellMar>
          <w:left w:w="0" w:type="dxa"/>
          <w:right w:w="0" w:type="dxa"/>
        </w:tblCellMar>
        <w:tblLook w:val="04A0" w:firstRow="1" w:lastRow="0" w:firstColumn="1" w:lastColumn="0" w:noHBand="0" w:noVBand="1"/>
      </w:tblPr>
      <w:tblGrid>
        <w:gridCol w:w="4782"/>
        <w:gridCol w:w="4185"/>
      </w:tblGrid>
      <w:tr w:rsidR="00CB63CD" w:rsidTr="003D4D5B">
        <w:trPr>
          <w:divId w:val="1614633611"/>
          <w:cantSplit/>
          <w:trHeight w:val="397"/>
          <w:jc w:val="center"/>
        </w:trPr>
        <w:tc>
          <w:tcPr>
            <w:tcW w:w="478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类   别</w:t>
            </w:r>
          </w:p>
        </w:tc>
        <w:tc>
          <w:tcPr>
            <w:tcW w:w="418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使用寿命</w:t>
            </w:r>
          </w:p>
        </w:tc>
      </w:tr>
      <w:tr w:rsidR="00CB63CD" w:rsidTr="003D4D5B">
        <w:trPr>
          <w:divId w:val="1614633611"/>
          <w:cantSplit/>
          <w:trHeight w:val="397"/>
          <w:jc w:val="center"/>
        </w:trPr>
        <w:tc>
          <w:tcPr>
            <w:tcW w:w="4782"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土地使用权</w:t>
            </w:r>
          </w:p>
        </w:tc>
        <w:tc>
          <w:tcPr>
            <w:tcW w:w="41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50年</w:t>
            </w:r>
          </w:p>
        </w:tc>
      </w:tr>
    </w:tbl>
    <w:p w:rsidR="00CB63CD" w:rsidRDefault="00CB63CD">
      <w:pPr>
        <w:pStyle w:val="a3"/>
        <w:spacing w:before="0" w:beforeAutospacing="0" w:after="0" w:afterAutospacing="0" w:line="360" w:lineRule="auto"/>
        <w:ind w:firstLine="360"/>
        <w:jc w:val="both"/>
        <w:divId w:val="1614633611"/>
        <w:rPr>
          <w:rFonts w:ascii="Times New Roman" w:hAnsi="Times New Roman" w:cs="Times New Roman"/>
          <w:sz w:val="21"/>
          <w:szCs w:val="21"/>
        </w:rPr>
      </w:pPr>
      <w:r>
        <w:rPr>
          <w:rFonts w:cs="Times New Roman" w:hint="eastAsia"/>
          <w:sz w:val="18"/>
          <w:szCs w:val="18"/>
        </w:rPr>
        <w:t>公司至少于每年年度终了对无形资产的使用寿命及摊销方法进行复核。</w:t>
      </w:r>
    </w:p>
    <w:p w:rsidR="00CB63CD" w:rsidRDefault="00CB63CD">
      <w:pPr>
        <w:pStyle w:val="a3"/>
        <w:spacing w:before="0" w:beforeAutospacing="0" w:after="0" w:afterAutospacing="0" w:line="360" w:lineRule="auto"/>
        <w:ind w:firstLine="360"/>
        <w:jc w:val="both"/>
        <w:divId w:val="1614633611"/>
        <w:rPr>
          <w:rFonts w:ascii="Times New Roman" w:hAnsi="Times New Roman" w:cs="Times New Roman"/>
          <w:sz w:val="21"/>
          <w:szCs w:val="21"/>
        </w:rPr>
      </w:pPr>
      <w:r>
        <w:rPr>
          <w:rFonts w:cs="Times New Roman" w:hint="eastAsia"/>
          <w:sz w:val="18"/>
          <w:szCs w:val="18"/>
        </w:rPr>
        <w:t>②对于使用寿命不确定的无形资产，不摊销。于每年年度终了，对使用寿命不确定的无形资产的使用寿命进行复核，如果有证据表明其使用寿命是有限的，则估计其使用寿命，并按其使用寿命进行摊销。</w:t>
      </w:r>
    </w:p>
    <w:p w:rsidR="00F068AD" w:rsidRDefault="00CB63CD">
      <w:pPr>
        <w:keepNext/>
        <w:keepLines/>
        <w:spacing w:before="300" w:after="300" w:line="280" w:lineRule="exact"/>
        <w:outlineLvl w:val="3"/>
        <w:rPr>
          <w:rFonts w:ascii="宋体" w:eastAsia="宋体" w:hAnsi="宋体" w:cs="宋体"/>
          <w:b/>
          <w:bCs/>
          <w:szCs w:val="21"/>
        </w:rPr>
      </w:pPr>
      <w:bookmarkStart w:id="128" w:name="_Toc989017"/>
      <w:r>
        <w:rPr>
          <w:rFonts w:ascii="宋体" w:eastAsia="宋体" w:hAnsi="宋体" w:cs="宋体"/>
          <w:b/>
          <w:bCs/>
          <w:szCs w:val="21"/>
        </w:rPr>
        <w:t>（2） 内部研究开发支出会计政策</w:t>
      </w:r>
      <w:bookmarkEnd w:id="128"/>
    </w:p>
    <w:p w:rsidR="00CB63CD" w:rsidRDefault="00CB63CD">
      <w:pPr>
        <w:pStyle w:val="a3"/>
        <w:spacing w:before="0" w:beforeAutospacing="0" w:after="0" w:afterAutospacing="0" w:line="360" w:lineRule="auto"/>
        <w:ind w:firstLine="360"/>
        <w:jc w:val="both"/>
        <w:divId w:val="923756739"/>
        <w:rPr>
          <w:rFonts w:ascii="Times New Roman" w:hAnsi="Times New Roman" w:cs="Times New Roman"/>
          <w:sz w:val="21"/>
          <w:szCs w:val="21"/>
        </w:rPr>
      </w:pPr>
      <w:r>
        <w:rPr>
          <w:rFonts w:cs="Times New Roman" w:hint="eastAsia"/>
          <w:sz w:val="18"/>
          <w:szCs w:val="18"/>
        </w:rPr>
        <w:t>①划分公司内部研究开发项目研究阶段和开发阶段的具体标准</w:t>
      </w:r>
    </w:p>
    <w:p w:rsidR="00CB63CD" w:rsidRDefault="00CB63CD">
      <w:pPr>
        <w:pStyle w:val="a3"/>
        <w:spacing w:before="0" w:beforeAutospacing="0" w:after="0" w:afterAutospacing="0" w:line="360" w:lineRule="auto"/>
        <w:ind w:firstLine="360"/>
        <w:jc w:val="both"/>
        <w:divId w:val="923756739"/>
        <w:rPr>
          <w:rFonts w:ascii="Times New Roman" w:hAnsi="Times New Roman" w:cs="Times New Roman"/>
          <w:sz w:val="21"/>
          <w:szCs w:val="21"/>
        </w:rPr>
      </w:pPr>
      <w:r>
        <w:rPr>
          <w:rFonts w:cs="Times New Roman" w:hint="eastAsia"/>
          <w:sz w:val="18"/>
          <w:szCs w:val="18"/>
        </w:rPr>
        <w:lastRenderedPageBreak/>
        <w:t>研究是指为获取并理解新的科学或技术知识而进行的独创性的有计划调查。开发是指在进行商业性生产或使用前，将研究成果或其他知识应用于一项或若干项计划或设计，以生产出新的或具有实质性改进的材料、装置、产品或获得新工序等。</w:t>
      </w:r>
    </w:p>
    <w:p w:rsidR="00CB63CD" w:rsidRDefault="00CB63CD">
      <w:pPr>
        <w:pStyle w:val="a3"/>
        <w:spacing w:before="0" w:beforeAutospacing="0" w:after="0" w:afterAutospacing="0" w:line="360" w:lineRule="auto"/>
        <w:ind w:firstLine="360"/>
        <w:jc w:val="both"/>
        <w:divId w:val="923756739"/>
        <w:rPr>
          <w:rFonts w:ascii="Times New Roman" w:hAnsi="Times New Roman" w:cs="Times New Roman"/>
          <w:sz w:val="21"/>
          <w:szCs w:val="21"/>
        </w:rPr>
      </w:pPr>
      <w:r>
        <w:rPr>
          <w:rFonts w:cs="Times New Roman" w:hint="eastAsia"/>
          <w:sz w:val="18"/>
          <w:szCs w:val="18"/>
        </w:rPr>
        <w:t>②研究阶段的支出，于发生时计入当期损益。开发阶段的支出，同时满足下列条件的，予以资本化：</w:t>
      </w:r>
    </w:p>
    <w:p w:rsidR="00CB63CD" w:rsidRDefault="00CB63CD">
      <w:pPr>
        <w:pStyle w:val="a3"/>
        <w:spacing w:before="0" w:beforeAutospacing="0" w:after="0" w:afterAutospacing="0" w:line="360" w:lineRule="auto"/>
        <w:ind w:firstLine="360"/>
        <w:jc w:val="both"/>
        <w:divId w:val="923756739"/>
        <w:rPr>
          <w:rFonts w:ascii="Times New Roman" w:hAnsi="Times New Roman" w:cs="Times New Roman"/>
          <w:sz w:val="21"/>
          <w:szCs w:val="21"/>
        </w:rPr>
      </w:pPr>
      <w:r>
        <w:rPr>
          <w:rFonts w:cs="Times New Roman" w:hint="eastAsia"/>
          <w:sz w:val="18"/>
          <w:szCs w:val="18"/>
        </w:rPr>
        <w:t>A、完成该无形资产以使其能够使用或出售在技术上具有可行性；</w:t>
      </w:r>
    </w:p>
    <w:p w:rsidR="00CB63CD" w:rsidRDefault="00CB63CD">
      <w:pPr>
        <w:pStyle w:val="a3"/>
        <w:spacing w:before="0" w:beforeAutospacing="0" w:after="0" w:afterAutospacing="0" w:line="360" w:lineRule="auto"/>
        <w:ind w:firstLine="360"/>
        <w:jc w:val="both"/>
        <w:divId w:val="923756739"/>
        <w:rPr>
          <w:rFonts w:ascii="Times New Roman" w:hAnsi="Times New Roman" w:cs="Times New Roman"/>
          <w:sz w:val="21"/>
          <w:szCs w:val="21"/>
        </w:rPr>
      </w:pPr>
      <w:r>
        <w:rPr>
          <w:rFonts w:cs="Times New Roman" w:hint="eastAsia"/>
          <w:sz w:val="18"/>
          <w:szCs w:val="18"/>
        </w:rPr>
        <w:t>B、具有完成该无形资产并使用或出售的意图；</w:t>
      </w:r>
    </w:p>
    <w:p w:rsidR="00CB63CD" w:rsidRDefault="00CB63CD">
      <w:pPr>
        <w:pStyle w:val="a3"/>
        <w:spacing w:before="0" w:beforeAutospacing="0" w:after="0" w:afterAutospacing="0" w:line="360" w:lineRule="auto"/>
        <w:ind w:firstLine="360"/>
        <w:jc w:val="both"/>
        <w:divId w:val="923756739"/>
        <w:rPr>
          <w:rFonts w:ascii="Times New Roman" w:hAnsi="Times New Roman" w:cs="Times New Roman"/>
          <w:sz w:val="21"/>
          <w:szCs w:val="21"/>
        </w:rPr>
      </w:pPr>
      <w:r>
        <w:rPr>
          <w:rFonts w:cs="Times New Roman" w:hint="eastAsia"/>
          <w:sz w:val="18"/>
          <w:szCs w:val="18"/>
        </w:rPr>
        <w:t>C、无形资产产生经济利益的方式，包括能够证明运用该无形资产生产的产品存在市场或无形资产自身存在市场，无形资产将在内部使用的，应当证明其有用性；</w:t>
      </w:r>
    </w:p>
    <w:p w:rsidR="00CB63CD" w:rsidRDefault="00CB63CD">
      <w:pPr>
        <w:pStyle w:val="a3"/>
        <w:spacing w:before="0" w:beforeAutospacing="0" w:after="0" w:afterAutospacing="0" w:line="360" w:lineRule="auto"/>
        <w:ind w:firstLine="360"/>
        <w:jc w:val="both"/>
        <w:divId w:val="923756739"/>
        <w:rPr>
          <w:rFonts w:ascii="Times New Roman" w:hAnsi="Times New Roman" w:cs="Times New Roman"/>
          <w:sz w:val="21"/>
          <w:szCs w:val="21"/>
        </w:rPr>
      </w:pPr>
      <w:r>
        <w:rPr>
          <w:rFonts w:cs="Times New Roman" w:hint="eastAsia"/>
          <w:sz w:val="18"/>
          <w:szCs w:val="18"/>
        </w:rPr>
        <w:t>D、有足够的技术、财务资源和其他资源支持，以完成该无形资产的开发，并有能力使用或出售该无形资产；</w:t>
      </w:r>
    </w:p>
    <w:p w:rsidR="00CB63CD" w:rsidRDefault="00CB63CD">
      <w:pPr>
        <w:pStyle w:val="a3"/>
        <w:spacing w:before="0" w:beforeAutospacing="0" w:after="0" w:afterAutospacing="0" w:line="360" w:lineRule="auto"/>
        <w:ind w:firstLine="360"/>
        <w:jc w:val="both"/>
        <w:divId w:val="923756739"/>
        <w:rPr>
          <w:rFonts w:ascii="Times New Roman" w:hAnsi="Times New Roman" w:cs="Times New Roman"/>
          <w:sz w:val="21"/>
          <w:szCs w:val="21"/>
        </w:rPr>
      </w:pPr>
      <w:r>
        <w:rPr>
          <w:rFonts w:cs="Times New Roman" w:hint="eastAsia"/>
          <w:sz w:val="18"/>
          <w:szCs w:val="18"/>
        </w:rPr>
        <w:t>E、归属于该无形资产开发阶段的支出能够可靠地计量。</w:t>
      </w:r>
    </w:p>
    <w:p w:rsidR="00F068AD" w:rsidRDefault="00CB63CD">
      <w:pPr>
        <w:pStyle w:val="3"/>
        <w:spacing w:line="280" w:lineRule="exact"/>
        <w:jc w:val="left"/>
        <w:rPr>
          <w:rFonts w:ascii="宋体" w:hAnsi="宋体" w:cs="宋体"/>
          <w:b/>
          <w:bCs/>
        </w:rPr>
      </w:pPr>
      <w:bookmarkStart w:id="129" w:name="_Toc989018"/>
      <w:r>
        <w:rPr>
          <w:rFonts w:ascii="宋体" w:hAnsi="宋体" w:cs="宋体"/>
          <w:b/>
          <w:bCs/>
        </w:rPr>
        <w:t>24、长期资产减值</w:t>
      </w:r>
      <w:bookmarkEnd w:id="129"/>
    </w:p>
    <w:p w:rsidR="00CB63CD" w:rsidRDefault="00CB63CD">
      <w:pPr>
        <w:pStyle w:val="a3"/>
        <w:spacing w:before="0" w:beforeAutospacing="0" w:after="0" w:afterAutospacing="0" w:line="360" w:lineRule="auto"/>
        <w:ind w:firstLine="360"/>
        <w:jc w:val="both"/>
        <w:divId w:val="670644845"/>
        <w:rPr>
          <w:rFonts w:ascii="Times New Roman" w:hAnsi="Times New Roman" w:cs="Times New Roman"/>
          <w:sz w:val="21"/>
          <w:szCs w:val="21"/>
        </w:rPr>
      </w:pPr>
      <w:r>
        <w:rPr>
          <w:rFonts w:cs="Times New Roman" w:hint="eastAsia"/>
          <w:sz w:val="18"/>
          <w:szCs w:val="18"/>
        </w:rPr>
        <w:t>公司在资产负债表日根据内部及外部信息以确定长期股权投资、采用成本模式计量的投资性房地产、固定资产、在建工程、采用成本模式计量的生产性生物资产、油气资产、无形资产等长期资产是否存在减值的迹象，对存在减值迹象的长期资产进行减值测试，估计其可收回金额。此外，无论是否存在减值迹象，公司至少于每年年度终了对商誉、使用寿命不确定的无形资产以及尚未达到可使用状态的无形资产进行减值测试，估计其可收回金额。</w:t>
      </w:r>
    </w:p>
    <w:p w:rsidR="00CB63CD" w:rsidRDefault="00CB63CD">
      <w:pPr>
        <w:pStyle w:val="a3"/>
        <w:spacing w:before="0" w:beforeAutospacing="0" w:after="0" w:afterAutospacing="0" w:line="360" w:lineRule="auto"/>
        <w:ind w:firstLine="360"/>
        <w:jc w:val="both"/>
        <w:divId w:val="670644845"/>
        <w:rPr>
          <w:rFonts w:ascii="Times New Roman" w:hAnsi="Times New Roman" w:cs="Times New Roman"/>
          <w:sz w:val="21"/>
          <w:szCs w:val="21"/>
        </w:rPr>
      </w:pPr>
      <w:r>
        <w:rPr>
          <w:rFonts w:cs="Times New Roman" w:hint="eastAsia"/>
          <w:sz w:val="18"/>
          <w:szCs w:val="18"/>
        </w:rPr>
        <w:t>可收回金额的估计结果表明上述长期资产可收回金额低于其账面价值的，其账面价值会减记至可收回金额，减记的金额确认为资产减值损失，计入当期损益，同时计提相应的减值准备。</w:t>
      </w:r>
    </w:p>
    <w:p w:rsidR="00CB63CD" w:rsidRDefault="00CB63CD">
      <w:pPr>
        <w:pStyle w:val="a3"/>
        <w:spacing w:before="0" w:beforeAutospacing="0" w:after="0" w:afterAutospacing="0" w:line="360" w:lineRule="auto"/>
        <w:ind w:firstLine="360"/>
        <w:jc w:val="both"/>
        <w:divId w:val="670644845"/>
        <w:rPr>
          <w:rFonts w:ascii="Times New Roman" w:hAnsi="Times New Roman" w:cs="Times New Roman"/>
          <w:sz w:val="21"/>
          <w:szCs w:val="21"/>
        </w:rPr>
      </w:pPr>
      <w:r>
        <w:rPr>
          <w:rFonts w:cs="Times New Roman" w:hint="eastAsia"/>
          <w:sz w:val="18"/>
          <w:szCs w:val="18"/>
        </w:rPr>
        <w:t>可收回金额是指资产（或资产组、资产组组合，下同）的公允价值减去处置费用后的净额与资产预计未来现金流量的现值两者之间较高者。</w:t>
      </w:r>
    </w:p>
    <w:p w:rsidR="00CB63CD" w:rsidRDefault="00CB63CD">
      <w:pPr>
        <w:pStyle w:val="a3"/>
        <w:spacing w:before="0" w:beforeAutospacing="0" w:after="0" w:afterAutospacing="0" w:line="360" w:lineRule="auto"/>
        <w:ind w:firstLine="360"/>
        <w:jc w:val="both"/>
        <w:divId w:val="670644845"/>
        <w:rPr>
          <w:rFonts w:ascii="Times New Roman" w:hAnsi="Times New Roman" w:cs="Times New Roman"/>
          <w:sz w:val="21"/>
          <w:szCs w:val="21"/>
        </w:rPr>
      </w:pPr>
      <w:r>
        <w:rPr>
          <w:rFonts w:cs="Times New Roman" w:hint="eastAsia"/>
          <w:sz w:val="18"/>
          <w:szCs w:val="18"/>
        </w:rPr>
        <w:t>资产组是可以认定的最小资产组合，其产生的现金流入基本上独立于其他资产或者资产组。资产组由创造现金流入相关的资产组成。在认定资产组时，主要考虑该资产组能否独立产生现金流入，同时考虑管理层对生产经营活动的管理方式、以及对资产使用或者处置的决策方式等。</w:t>
      </w:r>
    </w:p>
    <w:p w:rsidR="00CB63CD" w:rsidRDefault="00CB63CD">
      <w:pPr>
        <w:pStyle w:val="a3"/>
        <w:spacing w:before="0" w:beforeAutospacing="0" w:after="0" w:afterAutospacing="0" w:line="360" w:lineRule="auto"/>
        <w:ind w:firstLine="360"/>
        <w:jc w:val="both"/>
        <w:divId w:val="670644845"/>
        <w:rPr>
          <w:rFonts w:ascii="Times New Roman" w:hAnsi="Times New Roman" w:cs="Times New Roman"/>
          <w:sz w:val="21"/>
          <w:szCs w:val="21"/>
        </w:rPr>
      </w:pPr>
      <w:r>
        <w:rPr>
          <w:rFonts w:cs="Times New Roman" w:hint="eastAsia"/>
          <w:sz w:val="18"/>
          <w:szCs w:val="18"/>
        </w:rPr>
        <w:t>资产的公允价值减去处置费用后的净额，是根据市场参与者在计量日发生的有序交易中，出售一项资产所能收到或者转移一项负债所需支付的价格减去可直接归属于该资产处置费用的金额确定。资产预计未来现金流量的现值，按照资产在持续使用过程中和最终处置时所产生的预计未来现金流量，选择恰当的税前折现率对其进行折现后的金额加以确定。</w:t>
      </w:r>
    </w:p>
    <w:p w:rsidR="00CB63CD" w:rsidRDefault="00CB63CD">
      <w:pPr>
        <w:pStyle w:val="a3"/>
        <w:spacing w:before="0" w:beforeAutospacing="0" w:after="0" w:afterAutospacing="0" w:line="360" w:lineRule="auto"/>
        <w:ind w:firstLine="360"/>
        <w:jc w:val="both"/>
        <w:divId w:val="670644845"/>
        <w:rPr>
          <w:rFonts w:ascii="Times New Roman" w:hAnsi="Times New Roman" w:cs="Times New Roman"/>
          <w:sz w:val="21"/>
          <w:szCs w:val="21"/>
        </w:rPr>
      </w:pPr>
      <w:r>
        <w:rPr>
          <w:rFonts w:cs="Times New Roman" w:hint="eastAsia"/>
          <w:sz w:val="18"/>
          <w:szCs w:val="18"/>
        </w:rPr>
        <w:t>与资产组或者资产组组合相关的减值损失，先抵减分摊至该资产组或者资产组组合中商誉的账面价值，再根据资产组或者资产组组合中除商誉之外的其他各项资产的账面价值所占比重，按比例抵减其他各项资产的账面价值，但抵减后的各资产的账面价值不得低于该资产的公允价值减去处置费用后的净额（如可确定的）、该资产预计未来现金流量的现值（如可确定的）和零三者之中最高者。</w:t>
      </w:r>
    </w:p>
    <w:p w:rsidR="00CB63CD" w:rsidRDefault="00CB63CD">
      <w:pPr>
        <w:pStyle w:val="a3"/>
        <w:spacing w:before="0" w:beforeAutospacing="0" w:after="0" w:afterAutospacing="0" w:line="360" w:lineRule="auto"/>
        <w:ind w:firstLine="360"/>
        <w:jc w:val="both"/>
        <w:divId w:val="670644845"/>
        <w:rPr>
          <w:rFonts w:ascii="Times New Roman" w:hAnsi="Times New Roman" w:cs="Times New Roman"/>
          <w:sz w:val="21"/>
          <w:szCs w:val="21"/>
        </w:rPr>
      </w:pPr>
      <w:r>
        <w:rPr>
          <w:rFonts w:cs="Times New Roman" w:hint="eastAsia"/>
          <w:sz w:val="18"/>
          <w:szCs w:val="18"/>
        </w:rPr>
        <w:lastRenderedPageBreak/>
        <w:t>前述长期资产减值损失一经确认，在以后会计期间不得转回。</w:t>
      </w:r>
    </w:p>
    <w:p w:rsidR="00F068AD" w:rsidRDefault="00CB63CD">
      <w:pPr>
        <w:pStyle w:val="3"/>
        <w:spacing w:line="280" w:lineRule="exact"/>
        <w:jc w:val="left"/>
        <w:rPr>
          <w:rFonts w:ascii="宋体" w:hAnsi="宋体" w:cs="宋体"/>
          <w:b/>
          <w:bCs/>
        </w:rPr>
      </w:pPr>
      <w:bookmarkStart w:id="130" w:name="_Toc989019"/>
      <w:r>
        <w:rPr>
          <w:rFonts w:ascii="宋体" w:hAnsi="宋体" w:cs="宋体"/>
          <w:b/>
          <w:bCs/>
        </w:rPr>
        <w:t>25、长期待摊费用</w:t>
      </w:r>
      <w:bookmarkEnd w:id="130"/>
    </w:p>
    <w:p w:rsidR="00CB63CD" w:rsidRDefault="00CB63CD">
      <w:pPr>
        <w:pStyle w:val="a3"/>
        <w:spacing w:before="0" w:beforeAutospacing="0" w:after="0" w:afterAutospacing="0" w:line="360" w:lineRule="auto"/>
        <w:ind w:firstLine="360"/>
        <w:jc w:val="both"/>
        <w:divId w:val="2107117779"/>
        <w:rPr>
          <w:rFonts w:ascii="Times New Roman" w:hAnsi="Times New Roman" w:cs="Times New Roman"/>
          <w:sz w:val="21"/>
          <w:szCs w:val="21"/>
        </w:rPr>
      </w:pPr>
      <w:r>
        <w:rPr>
          <w:rFonts w:cs="Times New Roman" w:hint="eastAsia"/>
          <w:sz w:val="18"/>
          <w:szCs w:val="18"/>
        </w:rPr>
        <w:t>长期待摊费用在受益期内采用直线法摊销。如果长期待摊的费用项目不能使以后会计期间受益的，将尚未摊销的该项目的摊余价值全部转入当期损益。</w:t>
      </w:r>
    </w:p>
    <w:p w:rsidR="00F068AD" w:rsidRDefault="00CB63CD">
      <w:pPr>
        <w:pStyle w:val="3"/>
        <w:spacing w:line="280" w:lineRule="exact"/>
        <w:jc w:val="left"/>
        <w:rPr>
          <w:rFonts w:ascii="宋体" w:hAnsi="宋体" w:cs="宋体"/>
          <w:b/>
          <w:bCs/>
        </w:rPr>
      </w:pPr>
      <w:bookmarkStart w:id="131" w:name="_Toc989020"/>
      <w:r>
        <w:rPr>
          <w:rFonts w:ascii="宋体" w:hAnsi="宋体" w:cs="宋体"/>
          <w:b/>
          <w:bCs/>
        </w:rPr>
        <w:t>26、合同负债</w:t>
      </w:r>
      <w:bookmarkEnd w:id="131"/>
    </w:p>
    <w:p w:rsidR="00CB63CD" w:rsidRDefault="00CB63CD">
      <w:pPr>
        <w:pStyle w:val="a3"/>
        <w:spacing w:before="0" w:beforeAutospacing="0" w:after="0" w:afterAutospacing="0" w:line="360" w:lineRule="auto"/>
        <w:ind w:firstLine="480"/>
        <w:jc w:val="both"/>
        <w:divId w:val="192694873"/>
        <w:rPr>
          <w:rFonts w:ascii="Times New Roman" w:hAnsi="Times New Roman" w:cs="Times New Roman"/>
          <w:sz w:val="21"/>
          <w:szCs w:val="21"/>
        </w:rPr>
      </w:pPr>
      <w:r>
        <w:rPr>
          <w:rFonts w:cs="Times New Roman" w:hint="eastAsia"/>
          <w:sz w:val="18"/>
          <w:szCs w:val="18"/>
        </w:rPr>
        <w:t>合同负债，是指本公司已收或应收客户对价而应向客户转让商品或服务的义务。同一合同下的合同资产和合同负债以净额列示。</w:t>
      </w:r>
    </w:p>
    <w:p w:rsidR="00F068AD" w:rsidRDefault="00CB63CD">
      <w:pPr>
        <w:pStyle w:val="3"/>
        <w:spacing w:line="280" w:lineRule="exact"/>
        <w:jc w:val="left"/>
        <w:rPr>
          <w:rFonts w:ascii="宋体" w:hAnsi="宋体" w:cs="宋体"/>
          <w:b/>
          <w:bCs/>
        </w:rPr>
      </w:pPr>
      <w:bookmarkStart w:id="132" w:name="_Toc989021"/>
      <w:r>
        <w:rPr>
          <w:rFonts w:ascii="宋体" w:hAnsi="宋体" w:cs="宋体"/>
          <w:b/>
          <w:bCs/>
        </w:rPr>
        <w:t>27、职工薪酬</w:t>
      </w:r>
      <w:bookmarkEnd w:id="132"/>
    </w:p>
    <w:p w:rsidR="00F068AD" w:rsidRDefault="00CB63CD">
      <w:pPr>
        <w:keepNext/>
        <w:keepLines/>
        <w:spacing w:before="300" w:after="300" w:line="280" w:lineRule="exact"/>
        <w:outlineLvl w:val="3"/>
        <w:rPr>
          <w:rFonts w:ascii="宋体" w:eastAsia="宋体" w:hAnsi="宋体" w:cs="宋体"/>
          <w:b/>
          <w:bCs/>
          <w:szCs w:val="21"/>
        </w:rPr>
      </w:pPr>
      <w:bookmarkStart w:id="133" w:name="_Toc989022"/>
      <w:r>
        <w:rPr>
          <w:rFonts w:ascii="宋体" w:eastAsia="宋体" w:hAnsi="宋体" w:cs="宋体"/>
          <w:b/>
          <w:bCs/>
          <w:szCs w:val="21"/>
        </w:rPr>
        <w:t>（1） 短期薪酬的会计处理方法</w:t>
      </w:r>
      <w:bookmarkEnd w:id="133"/>
    </w:p>
    <w:p w:rsidR="00CB63CD" w:rsidRDefault="00CB63CD">
      <w:pPr>
        <w:pStyle w:val="a3"/>
        <w:spacing w:before="0" w:beforeAutospacing="0" w:after="0" w:afterAutospacing="0" w:line="360" w:lineRule="auto"/>
        <w:ind w:firstLine="360"/>
        <w:jc w:val="both"/>
        <w:divId w:val="1452285769"/>
        <w:rPr>
          <w:rFonts w:ascii="Times New Roman" w:hAnsi="Times New Roman" w:cs="Times New Roman"/>
          <w:sz w:val="21"/>
          <w:szCs w:val="21"/>
        </w:rPr>
      </w:pPr>
      <w:r>
        <w:rPr>
          <w:rFonts w:cs="Times New Roman" w:hint="eastAsia"/>
          <w:sz w:val="18"/>
          <w:szCs w:val="18"/>
        </w:rPr>
        <w:t>公司在职工为公司提供服务的会计期间，将实际发生的短期薪酬确认为负债，并计入当期损益或相关资产成本。</w:t>
      </w:r>
    </w:p>
    <w:p w:rsidR="00CB63CD" w:rsidRDefault="00CB63CD">
      <w:pPr>
        <w:pStyle w:val="a3"/>
        <w:spacing w:before="0" w:beforeAutospacing="0" w:after="0" w:afterAutospacing="0" w:line="360" w:lineRule="auto"/>
        <w:ind w:firstLine="360"/>
        <w:jc w:val="both"/>
        <w:divId w:val="1452285769"/>
        <w:rPr>
          <w:rFonts w:ascii="Times New Roman" w:hAnsi="Times New Roman" w:cs="Times New Roman"/>
          <w:sz w:val="21"/>
          <w:szCs w:val="21"/>
        </w:rPr>
      </w:pPr>
      <w:r>
        <w:rPr>
          <w:rFonts w:cs="Times New Roman" w:hint="eastAsia"/>
          <w:sz w:val="18"/>
          <w:szCs w:val="18"/>
        </w:rPr>
        <w:t>公司为职工缴纳的医疗保险费和住房公积金，以及按规定提取的工会经费和职工教育经费，在职工为公司提供服务的会计期间，根据规定的计提基础和计提比例计算确定相应的职工薪酬金额。</w:t>
      </w:r>
    </w:p>
    <w:p w:rsidR="00CB63CD" w:rsidRDefault="00CB63CD">
      <w:pPr>
        <w:pStyle w:val="a3"/>
        <w:spacing w:before="0" w:beforeAutospacing="0" w:after="0" w:afterAutospacing="0" w:line="360" w:lineRule="auto"/>
        <w:ind w:firstLine="360"/>
        <w:jc w:val="both"/>
        <w:divId w:val="1452285769"/>
        <w:rPr>
          <w:rFonts w:ascii="Times New Roman" w:hAnsi="Times New Roman" w:cs="Times New Roman"/>
          <w:sz w:val="21"/>
          <w:szCs w:val="21"/>
        </w:rPr>
      </w:pPr>
      <w:r>
        <w:rPr>
          <w:rFonts w:cs="Times New Roman" w:hint="eastAsia"/>
          <w:sz w:val="18"/>
          <w:szCs w:val="18"/>
        </w:rPr>
        <w:t>职工福利费为非货币性福利的，如能够可靠计量的，按照公允价值计量。</w:t>
      </w:r>
    </w:p>
    <w:p w:rsidR="00F068AD" w:rsidRDefault="00CB63CD">
      <w:pPr>
        <w:keepNext/>
        <w:keepLines/>
        <w:spacing w:before="300" w:after="300" w:line="280" w:lineRule="exact"/>
        <w:outlineLvl w:val="3"/>
        <w:rPr>
          <w:rFonts w:ascii="宋体" w:eastAsia="宋体" w:hAnsi="宋体" w:cs="宋体"/>
          <w:b/>
          <w:bCs/>
          <w:szCs w:val="21"/>
        </w:rPr>
      </w:pPr>
      <w:bookmarkStart w:id="134" w:name="_Toc989023"/>
      <w:r>
        <w:rPr>
          <w:rFonts w:ascii="宋体" w:eastAsia="宋体" w:hAnsi="宋体" w:cs="宋体"/>
          <w:b/>
          <w:bCs/>
          <w:szCs w:val="21"/>
        </w:rPr>
        <w:t>（2） 离职后福利的会计处理方法</w:t>
      </w:r>
      <w:bookmarkEnd w:id="134"/>
    </w:p>
    <w:p w:rsidR="00CB63CD" w:rsidRDefault="00CB63CD">
      <w:pPr>
        <w:pStyle w:val="a3"/>
        <w:spacing w:before="0" w:beforeAutospacing="0" w:after="0" w:afterAutospacing="0" w:line="360" w:lineRule="auto"/>
        <w:ind w:firstLine="360"/>
        <w:jc w:val="both"/>
        <w:divId w:val="1258094849"/>
        <w:rPr>
          <w:rFonts w:ascii="Times New Roman" w:hAnsi="Times New Roman" w:cs="Times New Roman"/>
          <w:sz w:val="21"/>
          <w:szCs w:val="21"/>
        </w:rPr>
      </w:pPr>
      <w:r>
        <w:rPr>
          <w:rFonts w:cs="Times New Roman" w:hint="eastAsia"/>
          <w:sz w:val="18"/>
          <w:szCs w:val="18"/>
        </w:rPr>
        <w:t>公司按规定参加由政府机构设立的职工社会保障体系，为职工缴纳基本养老保险和失业保险。离职后福利主要包括设定提存计划。设定提存计划主要包括基本养老保险、失业保险，相应的应缴存金额于发生时计入相关资产成本或当期损益。</w:t>
      </w:r>
    </w:p>
    <w:p w:rsidR="00F068AD" w:rsidRDefault="00CB63CD">
      <w:pPr>
        <w:keepNext/>
        <w:keepLines/>
        <w:spacing w:before="300" w:after="300" w:line="280" w:lineRule="exact"/>
        <w:outlineLvl w:val="3"/>
        <w:rPr>
          <w:rFonts w:ascii="宋体" w:eastAsia="宋体" w:hAnsi="宋体" w:cs="宋体"/>
          <w:b/>
          <w:bCs/>
          <w:szCs w:val="21"/>
        </w:rPr>
      </w:pPr>
      <w:bookmarkStart w:id="135" w:name="_Toc989024"/>
      <w:r>
        <w:rPr>
          <w:rFonts w:ascii="宋体" w:eastAsia="宋体" w:hAnsi="宋体" w:cs="宋体"/>
          <w:b/>
          <w:bCs/>
          <w:szCs w:val="21"/>
        </w:rPr>
        <w:t>（3） 辞退福利的会计处理方法</w:t>
      </w:r>
      <w:bookmarkEnd w:id="135"/>
    </w:p>
    <w:p w:rsidR="00CB63CD" w:rsidRDefault="00CB63CD">
      <w:pPr>
        <w:pStyle w:val="a3"/>
        <w:spacing w:before="0" w:beforeAutospacing="0" w:after="0" w:afterAutospacing="0" w:line="360" w:lineRule="auto"/>
        <w:ind w:firstLine="360"/>
        <w:jc w:val="both"/>
        <w:divId w:val="142739547"/>
        <w:rPr>
          <w:rFonts w:ascii="Times New Roman" w:hAnsi="Times New Roman" w:cs="Times New Roman"/>
          <w:sz w:val="21"/>
          <w:szCs w:val="21"/>
        </w:rPr>
      </w:pPr>
      <w:r>
        <w:rPr>
          <w:rFonts w:cs="Times New Roman" w:hint="eastAsia"/>
          <w:sz w:val="18"/>
          <w:szCs w:val="18"/>
        </w:rPr>
        <w:t>在职工劳动合同到期之前解除与职工的劳动关系，或为鼓励职工自愿接受裁减而提出给予补偿的建议，公司在下列两者孰早日确认辞退福利产生的职工薪酬负债，并计入当期损益：公司不能单方面撤回因解除劳动关系计划或裁减建议所提供的辞退福利时；公司确认与涉及支付辞退福利的重组相关的成本或费用时。</w:t>
      </w:r>
    </w:p>
    <w:p w:rsidR="00F068AD" w:rsidRDefault="00CB63CD">
      <w:pPr>
        <w:pStyle w:val="3"/>
        <w:spacing w:line="280" w:lineRule="exact"/>
        <w:jc w:val="left"/>
        <w:rPr>
          <w:rFonts w:ascii="宋体" w:hAnsi="宋体" w:cs="宋体"/>
          <w:b/>
          <w:bCs/>
        </w:rPr>
      </w:pPr>
      <w:bookmarkStart w:id="136" w:name="_Toc989025"/>
      <w:r>
        <w:rPr>
          <w:rFonts w:ascii="宋体" w:hAnsi="宋体" w:cs="宋体"/>
          <w:b/>
          <w:bCs/>
        </w:rPr>
        <w:lastRenderedPageBreak/>
        <w:t>28、租赁负债</w:t>
      </w:r>
      <w:bookmarkEnd w:id="136"/>
    </w:p>
    <w:p w:rsidR="00CB63CD" w:rsidRDefault="00CB63CD">
      <w:pPr>
        <w:pStyle w:val="a3"/>
        <w:spacing w:before="0" w:beforeAutospacing="0" w:after="0" w:afterAutospacing="0" w:line="360" w:lineRule="auto"/>
        <w:ind w:firstLine="360"/>
        <w:jc w:val="both"/>
        <w:divId w:val="344064230"/>
        <w:rPr>
          <w:rFonts w:ascii="Times New Roman" w:hAnsi="Times New Roman" w:cs="Times New Roman"/>
          <w:sz w:val="21"/>
          <w:szCs w:val="21"/>
        </w:rPr>
      </w:pPr>
      <w:r>
        <w:rPr>
          <w:rFonts w:cs="Times New Roman" w:hint="eastAsia"/>
          <w:sz w:val="18"/>
          <w:szCs w:val="18"/>
        </w:rPr>
        <w:t>在租赁期开始日，本公司将尚未支付的租赁付款额的现值确认为租赁负债（短期租赁和低价值资产租赁除外）。在计算租赁付款额的现值时，采用租赁内含利率作为折现率；无法确定租赁内含利率的，采用承租人增量借款利率作为折现率。未纳入租赁负债计量的可变租赁付款额于实际发生时计入当期损益。</w:t>
      </w:r>
    </w:p>
    <w:p w:rsidR="00CB63CD" w:rsidRDefault="00CB63CD">
      <w:pPr>
        <w:pStyle w:val="a3"/>
        <w:spacing w:before="0" w:beforeAutospacing="0" w:after="0" w:afterAutospacing="0" w:line="360" w:lineRule="auto"/>
        <w:ind w:firstLine="360"/>
        <w:jc w:val="both"/>
        <w:divId w:val="344064230"/>
        <w:rPr>
          <w:rFonts w:ascii="Times New Roman" w:hAnsi="Times New Roman" w:cs="Times New Roman"/>
          <w:sz w:val="21"/>
          <w:szCs w:val="21"/>
        </w:rPr>
      </w:pPr>
      <w:r>
        <w:rPr>
          <w:rFonts w:cs="Times New Roman" w:hint="eastAsia"/>
          <w:sz w:val="18"/>
          <w:szCs w:val="18"/>
        </w:rPr>
        <w:t>本公司按照固定的周期性利率计算租赁负债在租赁期内利息费用，并计入当期损益，按照其他准则规定应当计入相关资产成本的，从其规定。未纳入租赁负债计量的可变租赁付款额于实际发生时计入当期损益，按照其他准则规定应当计入相关资产成本的，从其规定。</w:t>
      </w:r>
    </w:p>
    <w:p w:rsidR="00CB63CD" w:rsidRDefault="00CB63CD">
      <w:pPr>
        <w:pStyle w:val="a3"/>
        <w:spacing w:before="0" w:beforeAutospacing="0" w:after="0" w:afterAutospacing="0" w:line="360" w:lineRule="auto"/>
        <w:ind w:firstLine="360"/>
        <w:jc w:val="both"/>
        <w:divId w:val="344064230"/>
        <w:rPr>
          <w:rFonts w:ascii="Times New Roman" w:hAnsi="Times New Roman" w:cs="Times New Roman"/>
          <w:sz w:val="21"/>
          <w:szCs w:val="21"/>
        </w:rPr>
      </w:pPr>
      <w:r>
        <w:rPr>
          <w:rFonts w:cs="Times New Roman" w:hint="eastAsia"/>
          <w:sz w:val="18"/>
          <w:szCs w:val="18"/>
        </w:rPr>
        <w:t>租赁期开始日后，因续租选择权、终止租赁选择权或购买选择权的评估结果或实际行使情况发生变化的，重新确定租赁付款额，并按变动后租赁付款额和修订后的折现率计算的现值重新计量租赁负债。</w:t>
      </w:r>
    </w:p>
    <w:p w:rsidR="00CB63CD" w:rsidRDefault="00CB63CD">
      <w:pPr>
        <w:pStyle w:val="a3"/>
        <w:spacing w:before="0" w:beforeAutospacing="0" w:after="0" w:afterAutospacing="0" w:line="360" w:lineRule="auto"/>
        <w:ind w:firstLine="360"/>
        <w:jc w:val="both"/>
        <w:divId w:val="344064230"/>
        <w:rPr>
          <w:rFonts w:ascii="Times New Roman" w:hAnsi="Times New Roman" w:cs="Times New Roman"/>
          <w:sz w:val="21"/>
          <w:szCs w:val="21"/>
        </w:rPr>
      </w:pPr>
      <w:r>
        <w:rPr>
          <w:rFonts w:cs="Times New Roman" w:hint="eastAsia"/>
          <w:sz w:val="18"/>
          <w:szCs w:val="18"/>
        </w:rPr>
        <w:t>租赁期开始日后，根据担保余值预计的应付金额发生变动，或者因用于确定租赁付款额的指数或比率变动而导致未来租赁付款额发生变动的，按照变动后租赁付款额的现值重新计量租赁负债。</w:t>
      </w:r>
    </w:p>
    <w:p w:rsidR="00CB63CD" w:rsidRDefault="00CB63CD">
      <w:pPr>
        <w:pStyle w:val="a3"/>
        <w:spacing w:before="0" w:beforeAutospacing="0" w:after="0" w:afterAutospacing="0" w:line="360" w:lineRule="auto"/>
        <w:ind w:firstLine="360"/>
        <w:jc w:val="both"/>
        <w:divId w:val="344064230"/>
        <w:rPr>
          <w:rFonts w:ascii="Times New Roman" w:hAnsi="Times New Roman" w:cs="Times New Roman"/>
          <w:sz w:val="21"/>
          <w:szCs w:val="21"/>
        </w:rPr>
      </w:pPr>
      <w:r>
        <w:rPr>
          <w:rFonts w:cs="Times New Roman" w:hint="eastAsia"/>
          <w:sz w:val="18"/>
          <w:szCs w:val="18"/>
        </w:rPr>
        <w:t>在针对上述原因或因实质固定付款额变动重新计量租赁负债时，相应调整使用权资产的账面价值。使用权资产的账面价值已调减至零，但租赁负债仍需进一步调减的，将剩余金额计入当期损益。</w:t>
      </w:r>
    </w:p>
    <w:p w:rsidR="00F068AD" w:rsidRDefault="00CB63CD">
      <w:pPr>
        <w:pStyle w:val="3"/>
        <w:spacing w:line="280" w:lineRule="exact"/>
        <w:jc w:val="left"/>
        <w:rPr>
          <w:rFonts w:ascii="宋体" w:hAnsi="宋体" w:cs="宋体"/>
          <w:b/>
          <w:bCs/>
        </w:rPr>
      </w:pPr>
      <w:bookmarkStart w:id="137" w:name="_Toc989026"/>
      <w:r>
        <w:rPr>
          <w:rFonts w:ascii="宋体" w:hAnsi="宋体" w:cs="宋体"/>
          <w:b/>
          <w:bCs/>
        </w:rPr>
        <w:t>29、预计负债</w:t>
      </w:r>
      <w:bookmarkEnd w:id="137"/>
    </w:p>
    <w:p w:rsidR="00CB63CD" w:rsidRDefault="00CB63CD">
      <w:pPr>
        <w:pStyle w:val="a3"/>
        <w:spacing w:before="0" w:beforeAutospacing="0" w:after="0" w:afterAutospacing="0" w:line="360" w:lineRule="auto"/>
        <w:ind w:firstLine="360"/>
        <w:jc w:val="both"/>
        <w:divId w:val="1991518147"/>
        <w:rPr>
          <w:rFonts w:ascii="Times New Roman" w:hAnsi="Times New Roman" w:cs="Times New Roman"/>
          <w:sz w:val="21"/>
          <w:szCs w:val="21"/>
        </w:rPr>
      </w:pPr>
      <w:r>
        <w:rPr>
          <w:rFonts w:cs="Times New Roman" w:hint="eastAsia"/>
          <w:sz w:val="18"/>
          <w:szCs w:val="18"/>
        </w:rPr>
        <w:t>（1）与或有事项相关的义务同时满足下列条件的，应当确认为预计负债：</w:t>
      </w:r>
    </w:p>
    <w:p w:rsidR="00CB63CD" w:rsidRDefault="00CB63CD">
      <w:pPr>
        <w:pStyle w:val="a3"/>
        <w:spacing w:before="0" w:beforeAutospacing="0" w:after="0" w:afterAutospacing="0" w:line="360" w:lineRule="auto"/>
        <w:ind w:firstLine="360"/>
        <w:jc w:val="both"/>
        <w:divId w:val="1991518147"/>
        <w:rPr>
          <w:rFonts w:ascii="Times New Roman" w:hAnsi="Times New Roman" w:cs="Times New Roman"/>
          <w:sz w:val="21"/>
          <w:szCs w:val="21"/>
        </w:rPr>
      </w:pPr>
      <w:r>
        <w:rPr>
          <w:rFonts w:cs="Times New Roman" w:hint="eastAsia"/>
          <w:sz w:val="18"/>
          <w:szCs w:val="18"/>
        </w:rPr>
        <w:t xml:space="preserve">①该义务是企业承担的现时义务； </w:t>
      </w:r>
    </w:p>
    <w:p w:rsidR="00CB63CD" w:rsidRDefault="00CB63CD">
      <w:pPr>
        <w:pStyle w:val="a3"/>
        <w:spacing w:before="0" w:beforeAutospacing="0" w:after="0" w:afterAutospacing="0" w:line="360" w:lineRule="auto"/>
        <w:ind w:firstLine="360"/>
        <w:jc w:val="both"/>
        <w:divId w:val="1991518147"/>
        <w:rPr>
          <w:rFonts w:ascii="Times New Roman" w:hAnsi="Times New Roman" w:cs="Times New Roman"/>
          <w:sz w:val="21"/>
          <w:szCs w:val="21"/>
        </w:rPr>
      </w:pPr>
      <w:r>
        <w:rPr>
          <w:rFonts w:cs="Times New Roman" w:hint="eastAsia"/>
          <w:sz w:val="18"/>
          <w:szCs w:val="18"/>
        </w:rPr>
        <w:t xml:space="preserve">②履行该义务很可能导致经济利益流出企业； </w:t>
      </w:r>
    </w:p>
    <w:p w:rsidR="00CB63CD" w:rsidRDefault="00CB63CD">
      <w:pPr>
        <w:pStyle w:val="a3"/>
        <w:spacing w:before="0" w:beforeAutospacing="0" w:after="0" w:afterAutospacing="0" w:line="360" w:lineRule="auto"/>
        <w:ind w:firstLine="360"/>
        <w:jc w:val="both"/>
        <w:divId w:val="1991518147"/>
        <w:rPr>
          <w:rFonts w:ascii="Times New Roman" w:hAnsi="Times New Roman" w:cs="Times New Roman"/>
          <w:sz w:val="21"/>
          <w:szCs w:val="21"/>
        </w:rPr>
      </w:pPr>
      <w:r>
        <w:rPr>
          <w:rFonts w:cs="Times New Roman" w:hint="eastAsia"/>
          <w:sz w:val="18"/>
          <w:szCs w:val="18"/>
        </w:rPr>
        <w:t>③该义务的金额能够可靠地计量。</w:t>
      </w:r>
    </w:p>
    <w:p w:rsidR="00CB63CD" w:rsidRDefault="00CB63CD">
      <w:pPr>
        <w:pStyle w:val="a3"/>
        <w:spacing w:before="0" w:beforeAutospacing="0" w:after="0" w:afterAutospacing="0" w:line="360" w:lineRule="auto"/>
        <w:ind w:firstLine="360"/>
        <w:jc w:val="both"/>
        <w:divId w:val="1991518147"/>
        <w:rPr>
          <w:rFonts w:ascii="Times New Roman" w:hAnsi="Times New Roman" w:cs="Times New Roman"/>
          <w:sz w:val="21"/>
          <w:szCs w:val="21"/>
        </w:rPr>
      </w:pPr>
      <w:r>
        <w:rPr>
          <w:rFonts w:cs="Times New Roman" w:hint="eastAsia"/>
          <w:sz w:val="18"/>
          <w:szCs w:val="18"/>
        </w:rPr>
        <w:t>（2）预计负债按照履行相关现时义务所需支出的最佳估计数进行初始计量。</w:t>
      </w:r>
    </w:p>
    <w:p w:rsidR="00CB63CD" w:rsidRDefault="00CB63CD">
      <w:pPr>
        <w:pStyle w:val="a3"/>
        <w:spacing w:before="0" w:beforeAutospacing="0" w:after="0" w:afterAutospacing="0" w:line="360" w:lineRule="auto"/>
        <w:ind w:firstLine="360"/>
        <w:jc w:val="both"/>
        <w:divId w:val="1991518147"/>
        <w:rPr>
          <w:rFonts w:ascii="Times New Roman" w:hAnsi="Times New Roman" w:cs="Times New Roman"/>
          <w:sz w:val="21"/>
          <w:szCs w:val="21"/>
        </w:rPr>
      </w:pPr>
      <w:r>
        <w:rPr>
          <w:rFonts w:cs="Times New Roman" w:hint="eastAsia"/>
          <w:sz w:val="18"/>
          <w:szCs w:val="18"/>
        </w:rPr>
        <w:t>如所需支出存在一个连续范围，且该范围内各种结果发生的可能性相同的，最佳估计数按照该范围内的中间值确定。</w:t>
      </w:r>
    </w:p>
    <w:p w:rsidR="00CB63CD" w:rsidRDefault="00CB63CD">
      <w:pPr>
        <w:pStyle w:val="a3"/>
        <w:spacing w:before="0" w:beforeAutospacing="0" w:after="0" w:afterAutospacing="0" w:line="360" w:lineRule="auto"/>
        <w:ind w:firstLine="360"/>
        <w:jc w:val="both"/>
        <w:divId w:val="1991518147"/>
        <w:rPr>
          <w:rFonts w:ascii="Times New Roman" w:hAnsi="Times New Roman" w:cs="Times New Roman"/>
          <w:sz w:val="21"/>
          <w:szCs w:val="21"/>
        </w:rPr>
      </w:pPr>
      <w:r>
        <w:rPr>
          <w:rFonts w:cs="Times New Roman" w:hint="eastAsia"/>
          <w:sz w:val="18"/>
          <w:szCs w:val="18"/>
        </w:rPr>
        <w:t xml:space="preserve">在其他情况下，最佳估计数分别下列情况处理： </w:t>
      </w:r>
    </w:p>
    <w:p w:rsidR="00CB63CD" w:rsidRDefault="00CB63CD">
      <w:pPr>
        <w:pStyle w:val="a3"/>
        <w:spacing w:before="0" w:beforeAutospacing="0" w:after="0" w:afterAutospacing="0" w:line="360" w:lineRule="auto"/>
        <w:ind w:firstLine="360"/>
        <w:jc w:val="both"/>
        <w:divId w:val="1991518147"/>
        <w:rPr>
          <w:rFonts w:ascii="Times New Roman" w:hAnsi="Times New Roman" w:cs="Times New Roman"/>
          <w:sz w:val="21"/>
          <w:szCs w:val="21"/>
        </w:rPr>
      </w:pPr>
      <w:r>
        <w:rPr>
          <w:rFonts w:cs="Times New Roman" w:hint="eastAsia"/>
          <w:sz w:val="18"/>
          <w:szCs w:val="18"/>
        </w:rPr>
        <w:t xml:space="preserve">①或有事项涉及单个项目的，按照最可能发生金额确定。 </w:t>
      </w:r>
    </w:p>
    <w:p w:rsidR="00CB63CD" w:rsidRDefault="00CB63CD">
      <w:pPr>
        <w:pStyle w:val="a3"/>
        <w:spacing w:before="0" w:beforeAutospacing="0" w:after="0" w:afterAutospacing="0" w:line="360" w:lineRule="auto"/>
        <w:ind w:firstLine="360"/>
        <w:jc w:val="both"/>
        <w:divId w:val="1991518147"/>
        <w:rPr>
          <w:rFonts w:ascii="Times New Roman" w:hAnsi="Times New Roman" w:cs="Times New Roman"/>
          <w:sz w:val="21"/>
          <w:szCs w:val="21"/>
        </w:rPr>
      </w:pPr>
      <w:r>
        <w:rPr>
          <w:rFonts w:cs="Times New Roman" w:hint="eastAsia"/>
          <w:sz w:val="18"/>
          <w:szCs w:val="18"/>
        </w:rPr>
        <w:t>②或有事项涉及多个项目的，按照各种可能结果及相关概率计算确定。</w:t>
      </w:r>
    </w:p>
    <w:p w:rsidR="00F068AD" w:rsidRDefault="00CB63CD">
      <w:pPr>
        <w:pStyle w:val="3"/>
        <w:spacing w:line="280" w:lineRule="exact"/>
        <w:jc w:val="left"/>
        <w:rPr>
          <w:rFonts w:ascii="宋体" w:hAnsi="宋体" w:cs="宋体"/>
          <w:b/>
          <w:bCs/>
        </w:rPr>
      </w:pPr>
      <w:bookmarkStart w:id="138" w:name="_Toc989027"/>
      <w:r>
        <w:rPr>
          <w:rFonts w:ascii="宋体" w:hAnsi="宋体" w:cs="宋体"/>
          <w:b/>
          <w:bCs/>
        </w:rPr>
        <w:t>30、股份支付</w:t>
      </w:r>
      <w:bookmarkEnd w:id="138"/>
    </w:p>
    <w:p w:rsidR="00CB63CD" w:rsidRDefault="00CB63CD">
      <w:pPr>
        <w:pStyle w:val="a3"/>
        <w:spacing w:before="0" w:beforeAutospacing="0" w:after="0" w:afterAutospacing="0" w:line="360" w:lineRule="auto"/>
        <w:ind w:firstLine="360"/>
        <w:jc w:val="both"/>
        <w:divId w:val="1685403831"/>
        <w:rPr>
          <w:rFonts w:ascii="Times New Roman" w:hAnsi="Times New Roman" w:cs="Times New Roman"/>
          <w:sz w:val="21"/>
          <w:szCs w:val="21"/>
        </w:rPr>
      </w:pPr>
      <w:r>
        <w:rPr>
          <w:rFonts w:cs="Times New Roman" w:hint="eastAsia"/>
          <w:sz w:val="18"/>
          <w:szCs w:val="18"/>
        </w:rPr>
        <w:t>(1)股份支付的种类</w:t>
      </w:r>
    </w:p>
    <w:p w:rsidR="00CB63CD" w:rsidRDefault="00CB63CD">
      <w:pPr>
        <w:pStyle w:val="a3"/>
        <w:spacing w:before="0" w:beforeAutospacing="0" w:after="0" w:afterAutospacing="0" w:line="360" w:lineRule="auto"/>
        <w:ind w:firstLine="360"/>
        <w:jc w:val="both"/>
        <w:divId w:val="1685403831"/>
        <w:rPr>
          <w:rFonts w:ascii="Times New Roman" w:hAnsi="Times New Roman" w:cs="Times New Roman"/>
          <w:sz w:val="21"/>
          <w:szCs w:val="21"/>
        </w:rPr>
      </w:pPr>
      <w:r>
        <w:rPr>
          <w:rFonts w:cs="Times New Roman" w:hint="eastAsia"/>
          <w:sz w:val="18"/>
          <w:szCs w:val="18"/>
        </w:rPr>
        <w:t>股份支付是为了获取职工或其他方提供服务而授予权益工具或者承担以权益工具为基础确定的负债的交易。股份支付分为以权益结算的股份支付和以现金结算的股份支付。</w:t>
      </w:r>
    </w:p>
    <w:p w:rsidR="00CB63CD" w:rsidRDefault="00CB63CD">
      <w:pPr>
        <w:pStyle w:val="a3"/>
        <w:spacing w:before="0" w:beforeAutospacing="0" w:after="0" w:afterAutospacing="0" w:line="360" w:lineRule="auto"/>
        <w:ind w:firstLine="360"/>
        <w:jc w:val="both"/>
        <w:divId w:val="1685403831"/>
        <w:rPr>
          <w:rFonts w:ascii="Times New Roman" w:hAnsi="Times New Roman" w:cs="Times New Roman"/>
          <w:sz w:val="21"/>
          <w:szCs w:val="21"/>
        </w:rPr>
      </w:pPr>
      <w:r>
        <w:rPr>
          <w:rFonts w:cs="Times New Roman" w:hint="eastAsia"/>
          <w:sz w:val="18"/>
          <w:szCs w:val="18"/>
        </w:rPr>
        <w:t>① 以权益结算的股份支付</w:t>
      </w:r>
    </w:p>
    <w:p w:rsidR="00CB63CD" w:rsidRDefault="00CB63CD">
      <w:pPr>
        <w:pStyle w:val="a3"/>
        <w:spacing w:before="0" w:beforeAutospacing="0" w:after="0" w:afterAutospacing="0" w:line="360" w:lineRule="auto"/>
        <w:ind w:firstLine="360"/>
        <w:jc w:val="both"/>
        <w:divId w:val="1685403831"/>
        <w:rPr>
          <w:rFonts w:ascii="Times New Roman" w:hAnsi="Times New Roman" w:cs="Times New Roman"/>
          <w:sz w:val="21"/>
          <w:szCs w:val="21"/>
        </w:rPr>
      </w:pPr>
      <w:r>
        <w:rPr>
          <w:rFonts w:cs="Times New Roman" w:hint="eastAsia"/>
          <w:sz w:val="18"/>
          <w:szCs w:val="18"/>
        </w:rPr>
        <w:lastRenderedPageBreak/>
        <w:t>用以换取职工提供的服务的权益结算的股份支付，以授予职工权益工具在授予日的公允价值计量。该公允价值的金额在完成等待期内的服务或达到规定业绩条件才可行权的情况下，在等待期内以对可行权权益工具数量的最佳估计为基础，按直线法计算计入相关成本或费用，在授予后立即可行权时，在授予日计入相关成本或费用，相应增加资本公积。</w:t>
      </w:r>
    </w:p>
    <w:p w:rsidR="00CB63CD" w:rsidRDefault="00CB63CD">
      <w:pPr>
        <w:pStyle w:val="a3"/>
        <w:spacing w:before="0" w:beforeAutospacing="0" w:after="0" w:afterAutospacing="0" w:line="360" w:lineRule="auto"/>
        <w:ind w:firstLine="360"/>
        <w:jc w:val="both"/>
        <w:divId w:val="1685403831"/>
        <w:rPr>
          <w:rFonts w:ascii="Times New Roman" w:hAnsi="Times New Roman" w:cs="Times New Roman"/>
          <w:sz w:val="21"/>
          <w:szCs w:val="21"/>
        </w:rPr>
      </w:pPr>
      <w:r>
        <w:rPr>
          <w:rFonts w:cs="Times New Roman" w:hint="eastAsia"/>
          <w:sz w:val="18"/>
          <w:szCs w:val="18"/>
        </w:rPr>
        <w:t>用以换取其他方服务的权益结算的股份支付，如果其他方服务的公允价值能够可靠计量，按照其他方服务在取得日的公允价值计量，如果其他方服务的公允价值不能可靠计量，但权益工具的公允价值能够可靠计量的，按照权益工具在服务取得日的公允价值计量，计入相关成本或费用，相应增加股东权益。</w:t>
      </w:r>
    </w:p>
    <w:p w:rsidR="00CB63CD" w:rsidRDefault="00CB63CD">
      <w:pPr>
        <w:pStyle w:val="a3"/>
        <w:spacing w:before="0" w:beforeAutospacing="0" w:after="0" w:afterAutospacing="0" w:line="360" w:lineRule="auto"/>
        <w:ind w:firstLine="360"/>
        <w:jc w:val="both"/>
        <w:divId w:val="1685403831"/>
        <w:rPr>
          <w:rFonts w:ascii="Times New Roman" w:hAnsi="Times New Roman" w:cs="Times New Roman"/>
          <w:sz w:val="21"/>
          <w:szCs w:val="21"/>
        </w:rPr>
      </w:pPr>
      <w:r>
        <w:rPr>
          <w:rFonts w:cs="Times New Roman" w:hint="eastAsia"/>
          <w:sz w:val="18"/>
          <w:szCs w:val="18"/>
        </w:rPr>
        <w:t>② 以现金结算的股份支付</w:t>
      </w:r>
    </w:p>
    <w:p w:rsidR="00CB63CD" w:rsidRDefault="00CB63CD">
      <w:pPr>
        <w:pStyle w:val="a3"/>
        <w:spacing w:before="0" w:beforeAutospacing="0" w:after="0" w:afterAutospacing="0" w:line="360" w:lineRule="auto"/>
        <w:ind w:firstLine="360"/>
        <w:jc w:val="both"/>
        <w:divId w:val="1685403831"/>
        <w:rPr>
          <w:rFonts w:ascii="Times New Roman" w:hAnsi="Times New Roman" w:cs="Times New Roman"/>
          <w:sz w:val="21"/>
          <w:szCs w:val="21"/>
        </w:rPr>
      </w:pPr>
      <w:r>
        <w:rPr>
          <w:rFonts w:cs="Times New Roman" w:hint="eastAsia"/>
          <w:sz w:val="18"/>
          <w:szCs w:val="18"/>
        </w:rPr>
        <w:t>以现金结算的股份支付，按照公司承担的以股份或其他权益工具为基础确定的负债的公允价值计量。如授予后立即可行权，在授予日计入相关成本或费用，相应增加负债；如须完成等待期内的服务或达到规定业绩条件以后才可行权，在等待期的每个资产负债表日，以对可行权情况的最佳估计为基础，按照公司承担负债的公允价值金额，将当期取得的服务计入成本或费用，相应增加负债。</w:t>
      </w:r>
    </w:p>
    <w:p w:rsidR="00CB63CD" w:rsidRDefault="00CB63CD">
      <w:pPr>
        <w:pStyle w:val="a3"/>
        <w:spacing w:before="0" w:beforeAutospacing="0" w:after="0" w:afterAutospacing="0" w:line="360" w:lineRule="auto"/>
        <w:ind w:firstLine="360"/>
        <w:jc w:val="both"/>
        <w:divId w:val="1685403831"/>
        <w:rPr>
          <w:rFonts w:ascii="Times New Roman" w:hAnsi="Times New Roman" w:cs="Times New Roman"/>
          <w:sz w:val="21"/>
          <w:szCs w:val="21"/>
        </w:rPr>
      </w:pPr>
      <w:r>
        <w:rPr>
          <w:rFonts w:cs="Times New Roman" w:hint="eastAsia"/>
          <w:sz w:val="18"/>
          <w:szCs w:val="18"/>
        </w:rPr>
        <w:t>在相关负债结算前的每个资产负债表日以及结算日，对负债的公允价值重新计量，其变动计入当期损益。</w:t>
      </w:r>
    </w:p>
    <w:p w:rsidR="00CB63CD" w:rsidRDefault="00CB63CD">
      <w:pPr>
        <w:pStyle w:val="a3"/>
        <w:spacing w:before="0" w:beforeAutospacing="0" w:after="0" w:afterAutospacing="0" w:line="360" w:lineRule="auto"/>
        <w:ind w:firstLine="360"/>
        <w:jc w:val="both"/>
        <w:divId w:val="1685403831"/>
        <w:rPr>
          <w:rFonts w:ascii="Times New Roman" w:hAnsi="Times New Roman" w:cs="Times New Roman"/>
          <w:sz w:val="21"/>
          <w:szCs w:val="21"/>
        </w:rPr>
      </w:pPr>
      <w:r>
        <w:rPr>
          <w:rFonts w:cs="Times New Roman" w:hint="eastAsia"/>
          <w:sz w:val="18"/>
          <w:szCs w:val="18"/>
        </w:rPr>
        <w:t>(2) 实施、修改、终止股份支付计划的相关会计处理</w:t>
      </w:r>
    </w:p>
    <w:p w:rsidR="00CB63CD" w:rsidRDefault="00CB63CD">
      <w:pPr>
        <w:pStyle w:val="a3"/>
        <w:spacing w:before="0" w:beforeAutospacing="0" w:after="0" w:afterAutospacing="0" w:line="360" w:lineRule="auto"/>
        <w:ind w:firstLine="360"/>
        <w:jc w:val="both"/>
        <w:divId w:val="1685403831"/>
        <w:rPr>
          <w:rFonts w:ascii="Times New Roman" w:hAnsi="Times New Roman" w:cs="Times New Roman"/>
          <w:sz w:val="21"/>
          <w:szCs w:val="21"/>
        </w:rPr>
      </w:pPr>
      <w:r>
        <w:rPr>
          <w:rFonts w:cs="Times New Roman" w:hint="eastAsia"/>
          <w:sz w:val="18"/>
          <w:szCs w:val="18"/>
        </w:rPr>
        <w:t>公司对股份支付计划进行修改时，若修改增加了所授予权益工具的公允价值，按照权益工具公允价值的增加相应确认取得服务的增加。权益工具公允价值的增加是指修改前后的权益工具在修改日的公允价值之间的差额。若修改减少了股份支付公允价值总额或采用了其他不利于职工的方式，则仍继续对取得的服务进行会计处理，视同该变更从未发生，除非公司取消了部分或全部已授予的权益工具。</w:t>
      </w:r>
    </w:p>
    <w:p w:rsidR="00CB63CD" w:rsidRDefault="00CB63CD">
      <w:pPr>
        <w:pStyle w:val="a3"/>
        <w:spacing w:before="0" w:beforeAutospacing="0" w:after="0" w:afterAutospacing="0" w:line="360" w:lineRule="auto"/>
        <w:ind w:firstLine="360"/>
        <w:jc w:val="both"/>
        <w:divId w:val="1685403831"/>
        <w:rPr>
          <w:rFonts w:ascii="Times New Roman" w:hAnsi="Times New Roman" w:cs="Times New Roman"/>
          <w:sz w:val="21"/>
          <w:szCs w:val="21"/>
        </w:rPr>
      </w:pPr>
      <w:r>
        <w:rPr>
          <w:rFonts w:cs="Times New Roman" w:hint="eastAsia"/>
          <w:sz w:val="18"/>
          <w:szCs w:val="18"/>
        </w:rPr>
        <w:t>在等待期内，如果取消了授予的权益工具，公司对取消所授予的权益性工具作为加速行权处理，将剩余等待期内应确认的金额立即计入当期损益，同时确认资本公积。职工或其他方能够选择满足非可行权条件但在等待期内未满足的，公司将其作为授予权益工具的取消处理。</w:t>
      </w:r>
    </w:p>
    <w:p w:rsidR="00F068AD" w:rsidRDefault="00CB63CD">
      <w:pPr>
        <w:pStyle w:val="3"/>
        <w:spacing w:line="280" w:lineRule="exact"/>
        <w:jc w:val="left"/>
        <w:rPr>
          <w:rFonts w:ascii="宋体" w:hAnsi="宋体" w:cs="宋体"/>
          <w:b/>
          <w:bCs/>
        </w:rPr>
      </w:pPr>
      <w:bookmarkStart w:id="139" w:name="_Toc989028"/>
      <w:r>
        <w:rPr>
          <w:rFonts w:ascii="宋体" w:hAnsi="宋体" w:cs="宋体"/>
          <w:b/>
          <w:bCs/>
        </w:rPr>
        <w:t>31、收入</w:t>
      </w:r>
      <w:bookmarkEnd w:id="139"/>
    </w:p>
    <w:p w:rsidR="00CB63CD" w:rsidRDefault="00CB63CD">
      <w:pPr>
        <w:pStyle w:val="a3"/>
        <w:spacing w:before="0" w:beforeAutospacing="0" w:after="0" w:afterAutospacing="0" w:line="360" w:lineRule="auto"/>
        <w:ind w:firstLine="360"/>
        <w:jc w:val="both"/>
        <w:divId w:val="1758166652"/>
        <w:rPr>
          <w:rFonts w:ascii="Times New Roman" w:hAnsi="Times New Roman" w:cs="Times New Roman"/>
          <w:sz w:val="21"/>
          <w:szCs w:val="21"/>
        </w:rPr>
      </w:pPr>
      <w:r>
        <w:rPr>
          <w:rFonts w:cs="Times New Roman" w:hint="eastAsia"/>
          <w:sz w:val="18"/>
          <w:szCs w:val="18"/>
        </w:rPr>
        <w:t>本公司在履行了合同中的履约义务，即在客户取得相关商品或服务控制权时确认收入。取得相关商品或服务控制权，是指能够主导该商品或服务的使用并从中获得几乎全部的经济利益。</w:t>
      </w:r>
    </w:p>
    <w:p w:rsidR="00CB63CD" w:rsidRDefault="00CB63CD">
      <w:pPr>
        <w:pStyle w:val="a3"/>
        <w:spacing w:before="0" w:beforeAutospacing="0" w:after="0" w:afterAutospacing="0" w:line="360" w:lineRule="auto"/>
        <w:ind w:firstLine="360"/>
        <w:jc w:val="both"/>
        <w:divId w:val="1758166652"/>
        <w:rPr>
          <w:rFonts w:ascii="Times New Roman" w:hAnsi="Times New Roman" w:cs="Times New Roman"/>
          <w:sz w:val="21"/>
          <w:szCs w:val="21"/>
        </w:rPr>
      </w:pPr>
      <w:r>
        <w:rPr>
          <w:rFonts w:cs="Times New Roman" w:hint="eastAsia"/>
          <w:sz w:val="18"/>
          <w:szCs w:val="18"/>
        </w:rPr>
        <w:t>合同中包含两项或多项履约义务的，本公司在合同开始日，按照各单项履约义务所承诺商品或服务的单独售价的相对比例，将交易价格分摊至各单项履约义务。本公司按照分摊至各单项履约义务的交易价格计量收入。</w:t>
      </w:r>
    </w:p>
    <w:p w:rsidR="00CB63CD" w:rsidRDefault="00CB63CD">
      <w:pPr>
        <w:pStyle w:val="a3"/>
        <w:spacing w:before="0" w:beforeAutospacing="0" w:after="0" w:afterAutospacing="0" w:line="360" w:lineRule="auto"/>
        <w:ind w:firstLine="360"/>
        <w:jc w:val="both"/>
        <w:divId w:val="1758166652"/>
        <w:rPr>
          <w:rFonts w:ascii="Times New Roman" w:hAnsi="Times New Roman" w:cs="Times New Roman"/>
          <w:sz w:val="21"/>
          <w:szCs w:val="21"/>
        </w:rPr>
      </w:pPr>
      <w:r>
        <w:rPr>
          <w:rFonts w:cs="Times New Roman" w:hint="eastAsia"/>
          <w:sz w:val="18"/>
          <w:szCs w:val="18"/>
        </w:rPr>
        <w:t>交易价格是指本公司因向客户转让商品或服务而预期有权收取的对价金额，不包括代第三方收取的款项以及预期将退还给客户的款项。本公司根据合同条款，结合其以往的习惯做法确定交易价格，并在确定交易价格时，考虑可变对价、合同中存在的重大融资成分、非现金对价、应付客户对价等因素的影响。本公司以不超过在相关不确定性消除时累计已确认收入极可能不会发生重大转回的金额确定包含可变对价的交易价格。合同中存在重大融资成分的，本公司按照假定</w:t>
      </w:r>
      <w:r>
        <w:rPr>
          <w:rFonts w:cs="Times New Roman" w:hint="eastAsia"/>
          <w:sz w:val="18"/>
          <w:szCs w:val="18"/>
        </w:rPr>
        <w:lastRenderedPageBreak/>
        <w:t>客户在取得商品或服务控制权时即以现金支付的应付金额确定交易价格，并在合同期间内采用实际利率法摊销该交易价格与合同对价之间的差额。</w:t>
      </w:r>
    </w:p>
    <w:p w:rsidR="00CB63CD" w:rsidRDefault="00CB63CD">
      <w:pPr>
        <w:pStyle w:val="a3"/>
        <w:spacing w:before="0" w:beforeAutospacing="0" w:after="0" w:afterAutospacing="0" w:line="360" w:lineRule="auto"/>
        <w:ind w:firstLine="360"/>
        <w:jc w:val="both"/>
        <w:divId w:val="1758166652"/>
        <w:rPr>
          <w:rFonts w:ascii="Times New Roman" w:hAnsi="Times New Roman" w:cs="Times New Roman"/>
          <w:sz w:val="21"/>
          <w:szCs w:val="21"/>
        </w:rPr>
      </w:pPr>
      <w:r>
        <w:rPr>
          <w:rFonts w:cs="Times New Roman" w:hint="eastAsia"/>
          <w:sz w:val="18"/>
          <w:szCs w:val="18"/>
        </w:rPr>
        <w:t>满足下列条件之一的，属于在某一时段内履行履约义务，否则，属于在某一时点履行履约义务：</w:t>
      </w:r>
    </w:p>
    <w:p w:rsidR="00CB63CD" w:rsidRDefault="00CB63CD">
      <w:pPr>
        <w:pStyle w:val="a3"/>
        <w:spacing w:before="0" w:beforeAutospacing="0" w:after="0" w:afterAutospacing="0" w:line="360" w:lineRule="auto"/>
        <w:ind w:firstLine="360"/>
        <w:jc w:val="both"/>
        <w:divId w:val="1758166652"/>
        <w:rPr>
          <w:rFonts w:ascii="Times New Roman" w:hAnsi="Times New Roman" w:cs="Times New Roman"/>
          <w:sz w:val="21"/>
          <w:szCs w:val="21"/>
        </w:rPr>
      </w:pPr>
      <w:r>
        <w:rPr>
          <w:rFonts w:cs="Times New Roman" w:hint="eastAsia"/>
          <w:sz w:val="18"/>
          <w:szCs w:val="18"/>
        </w:rPr>
        <w:t xml:space="preserve">（1）客户在本公司履约的同时即取得并消耗本公司履约所带来的经济利益； </w:t>
      </w:r>
    </w:p>
    <w:p w:rsidR="00CB63CD" w:rsidRDefault="00CB63CD">
      <w:pPr>
        <w:pStyle w:val="a3"/>
        <w:spacing w:before="0" w:beforeAutospacing="0" w:after="0" w:afterAutospacing="0" w:line="360" w:lineRule="auto"/>
        <w:ind w:firstLine="360"/>
        <w:jc w:val="both"/>
        <w:divId w:val="1758166652"/>
        <w:rPr>
          <w:rFonts w:ascii="Times New Roman" w:hAnsi="Times New Roman" w:cs="Times New Roman"/>
          <w:sz w:val="21"/>
          <w:szCs w:val="21"/>
        </w:rPr>
      </w:pPr>
      <w:r>
        <w:rPr>
          <w:rFonts w:cs="Times New Roman" w:hint="eastAsia"/>
          <w:sz w:val="18"/>
          <w:szCs w:val="18"/>
        </w:rPr>
        <w:t>（2）客户能够控制本公司履约过程中在建的商品；</w:t>
      </w:r>
    </w:p>
    <w:p w:rsidR="00CB63CD" w:rsidRDefault="00CB63CD">
      <w:pPr>
        <w:pStyle w:val="a3"/>
        <w:spacing w:before="0" w:beforeAutospacing="0" w:after="0" w:afterAutospacing="0" w:line="360" w:lineRule="auto"/>
        <w:ind w:firstLine="360"/>
        <w:jc w:val="both"/>
        <w:divId w:val="1758166652"/>
        <w:rPr>
          <w:rFonts w:ascii="Times New Roman" w:hAnsi="Times New Roman" w:cs="Times New Roman"/>
          <w:sz w:val="21"/>
          <w:szCs w:val="21"/>
        </w:rPr>
      </w:pPr>
      <w:r>
        <w:rPr>
          <w:rFonts w:cs="Times New Roman" w:hint="eastAsia"/>
          <w:sz w:val="18"/>
          <w:szCs w:val="18"/>
        </w:rPr>
        <w:t xml:space="preserve">（3）本公司履约过程中所产出的商品具有不可替代用途，且本公司在整个合同期内有权就累计至今已完成的履约部分收取款项。 </w:t>
      </w:r>
    </w:p>
    <w:p w:rsidR="00CB63CD" w:rsidRDefault="00CB63CD">
      <w:pPr>
        <w:pStyle w:val="a3"/>
        <w:spacing w:before="0" w:beforeAutospacing="0" w:after="0" w:afterAutospacing="0" w:line="360" w:lineRule="auto"/>
        <w:ind w:firstLine="360"/>
        <w:jc w:val="both"/>
        <w:divId w:val="1758166652"/>
        <w:rPr>
          <w:rFonts w:ascii="Times New Roman" w:hAnsi="Times New Roman" w:cs="Times New Roman"/>
          <w:sz w:val="21"/>
          <w:szCs w:val="21"/>
        </w:rPr>
      </w:pPr>
      <w:r>
        <w:rPr>
          <w:rFonts w:cs="Times New Roman" w:hint="eastAsia"/>
          <w:sz w:val="18"/>
          <w:szCs w:val="18"/>
        </w:rPr>
        <w:t>对于在某一时段内履行的履约义务，本公司在该段时间内按照履约进度确认收入，但是，履约进度不能合理确定的除外。本公司考虑商品或服务的性质，采用产出法或投入法确定履约进度。当履约进度不能合理确定时，已经发生的成本预计能够得到补偿的，本公司按照已经发生的成本金额确认收入，直到履约 进度能够合理确定为止。</w:t>
      </w:r>
    </w:p>
    <w:p w:rsidR="00CB63CD" w:rsidRDefault="00CB63CD">
      <w:pPr>
        <w:pStyle w:val="a3"/>
        <w:spacing w:before="0" w:beforeAutospacing="0" w:after="0" w:afterAutospacing="0" w:line="360" w:lineRule="auto"/>
        <w:ind w:firstLine="360"/>
        <w:jc w:val="both"/>
        <w:divId w:val="1758166652"/>
        <w:rPr>
          <w:rFonts w:ascii="Times New Roman" w:hAnsi="Times New Roman" w:cs="Times New Roman"/>
          <w:sz w:val="21"/>
          <w:szCs w:val="21"/>
        </w:rPr>
      </w:pPr>
      <w:r>
        <w:rPr>
          <w:rFonts w:cs="Times New Roman" w:hint="eastAsia"/>
          <w:sz w:val="18"/>
          <w:szCs w:val="18"/>
        </w:rPr>
        <w:t>对于在某一时点履行的履约义务，本公司在客户取得相关商品或服务控制权时点确认收入。在判断客户是否已取得商品或服务控制权时，本公司考虑下列迹象：</w:t>
      </w:r>
    </w:p>
    <w:p w:rsidR="00CB63CD" w:rsidRDefault="00CB63CD">
      <w:pPr>
        <w:pStyle w:val="a3"/>
        <w:spacing w:before="0" w:beforeAutospacing="0" w:after="0" w:afterAutospacing="0" w:line="360" w:lineRule="auto"/>
        <w:ind w:firstLine="360"/>
        <w:jc w:val="both"/>
        <w:divId w:val="1758166652"/>
        <w:rPr>
          <w:rFonts w:ascii="Times New Roman" w:hAnsi="Times New Roman" w:cs="Times New Roman"/>
          <w:sz w:val="21"/>
          <w:szCs w:val="21"/>
        </w:rPr>
      </w:pPr>
      <w:r>
        <w:rPr>
          <w:rFonts w:cs="Times New Roman" w:hint="eastAsia"/>
          <w:sz w:val="18"/>
          <w:szCs w:val="18"/>
        </w:rPr>
        <w:t>（1）本公司就该商品或服务享有现时收款权利，即客户就该商品或服务负有现时付款义务；</w:t>
      </w:r>
    </w:p>
    <w:p w:rsidR="00CB63CD" w:rsidRDefault="00CB63CD">
      <w:pPr>
        <w:pStyle w:val="a3"/>
        <w:spacing w:before="0" w:beforeAutospacing="0" w:after="0" w:afterAutospacing="0" w:line="360" w:lineRule="auto"/>
        <w:ind w:firstLine="360"/>
        <w:jc w:val="both"/>
        <w:divId w:val="1758166652"/>
        <w:rPr>
          <w:rFonts w:ascii="Times New Roman" w:hAnsi="Times New Roman" w:cs="Times New Roman"/>
          <w:sz w:val="21"/>
          <w:szCs w:val="21"/>
        </w:rPr>
      </w:pPr>
      <w:r>
        <w:rPr>
          <w:rFonts w:cs="Times New Roman" w:hint="eastAsia"/>
          <w:sz w:val="18"/>
          <w:szCs w:val="18"/>
        </w:rPr>
        <w:t>（2）本公司已将该商品的法定所有权转移给客户，即客户已拥有该商品的法定所有权；</w:t>
      </w:r>
    </w:p>
    <w:p w:rsidR="00CB63CD" w:rsidRDefault="00CB63CD">
      <w:pPr>
        <w:pStyle w:val="a3"/>
        <w:spacing w:before="0" w:beforeAutospacing="0" w:after="0" w:afterAutospacing="0" w:line="360" w:lineRule="auto"/>
        <w:ind w:firstLine="360"/>
        <w:jc w:val="both"/>
        <w:divId w:val="1758166652"/>
        <w:rPr>
          <w:rFonts w:ascii="Times New Roman" w:hAnsi="Times New Roman" w:cs="Times New Roman"/>
          <w:sz w:val="21"/>
          <w:szCs w:val="21"/>
        </w:rPr>
      </w:pPr>
      <w:r>
        <w:rPr>
          <w:rFonts w:cs="Times New Roman" w:hint="eastAsia"/>
          <w:sz w:val="18"/>
          <w:szCs w:val="18"/>
        </w:rPr>
        <w:t>（3）本公司已将该商品实物转移给客户，即客户已实物占有该商品；</w:t>
      </w:r>
    </w:p>
    <w:p w:rsidR="00CB63CD" w:rsidRDefault="00CB63CD">
      <w:pPr>
        <w:pStyle w:val="a3"/>
        <w:spacing w:before="0" w:beforeAutospacing="0" w:after="0" w:afterAutospacing="0" w:line="360" w:lineRule="auto"/>
        <w:ind w:firstLine="360"/>
        <w:jc w:val="both"/>
        <w:divId w:val="1758166652"/>
        <w:rPr>
          <w:rFonts w:ascii="Times New Roman" w:hAnsi="Times New Roman" w:cs="Times New Roman"/>
          <w:sz w:val="21"/>
          <w:szCs w:val="21"/>
        </w:rPr>
      </w:pPr>
      <w:r>
        <w:rPr>
          <w:rFonts w:cs="Times New Roman" w:hint="eastAsia"/>
          <w:sz w:val="18"/>
          <w:szCs w:val="18"/>
        </w:rPr>
        <w:t>（4）本公司已将该商品所有权上的主要风险和报酬转移给客户，即客户已取得该商品所有权上的主要风险和报酬；</w:t>
      </w:r>
    </w:p>
    <w:p w:rsidR="00CB63CD" w:rsidRDefault="00CB63CD">
      <w:pPr>
        <w:pStyle w:val="a3"/>
        <w:spacing w:before="0" w:beforeAutospacing="0" w:after="0" w:afterAutospacing="0" w:line="360" w:lineRule="auto"/>
        <w:ind w:firstLine="360"/>
        <w:jc w:val="both"/>
        <w:divId w:val="1758166652"/>
        <w:rPr>
          <w:rFonts w:ascii="Times New Roman" w:hAnsi="Times New Roman" w:cs="Times New Roman"/>
          <w:sz w:val="21"/>
          <w:szCs w:val="21"/>
        </w:rPr>
      </w:pPr>
      <w:r>
        <w:rPr>
          <w:rFonts w:cs="Times New Roman" w:hint="eastAsia"/>
          <w:sz w:val="18"/>
          <w:szCs w:val="18"/>
        </w:rPr>
        <w:t>（5）客户已接受该商品或服务等。</w:t>
      </w:r>
    </w:p>
    <w:p w:rsidR="00CB63CD" w:rsidRDefault="00CB63CD">
      <w:pPr>
        <w:pStyle w:val="a3"/>
        <w:spacing w:before="0" w:beforeAutospacing="0" w:after="0" w:afterAutospacing="0" w:line="360" w:lineRule="auto"/>
        <w:ind w:firstLine="360"/>
        <w:jc w:val="both"/>
        <w:divId w:val="1758166652"/>
        <w:rPr>
          <w:rFonts w:ascii="Times New Roman" w:hAnsi="Times New Roman" w:cs="Times New Roman"/>
          <w:sz w:val="21"/>
          <w:szCs w:val="21"/>
        </w:rPr>
      </w:pPr>
      <w:r>
        <w:rPr>
          <w:rFonts w:cs="Times New Roman" w:hint="eastAsia"/>
          <w:sz w:val="18"/>
          <w:szCs w:val="18"/>
        </w:rPr>
        <w:t>本公司收入主要来源于销售商品，销售商品属于在某一时点履行履约义务，商品销售收入确认的具体政策：</w:t>
      </w:r>
    </w:p>
    <w:p w:rsidR="00CB63CD" w:rsidRDefault="00CB63CD">
      <w:pPr>
        <w:pStyle w:val="a3"/>
        <w:spacing w:before="0" w:beforeAutospacing="0" w:after="0" w:afterAutospacing="0" w:line="360" w:lineRule="auto"/>
        <w:ind w:firstLine="360"/>
        <w:jc w:val="both"/>
        <w:divId w:val="1758166652"/>
        <w:rPr>
          <w:rFonts w:ascii="Times New Roman" w:hAnsi="Times New Roman" w:cs="Times New Roman"/>
          <w:sz w:val="21"/>
          <w:szCs w:val="21"/>
        </w:rPr>
      </w:pPr>
      <w:r>
        <w:rPr>
          <w:rFonts w:cs="Times New Roman" w:hint="eastAsia"/>
          <w:sz w:val="18"/>
          <w:szCs w:val="18"/>
        </w:rPr>
        <w:t>①国内销售收入确认需满足以下条件：公司已根据合同约定将产品交付给客户且客户已接受该商品，已经收回货款或取得了收款权利的凭证等；</w:t>
      </w:r>
    </w:p>
    <w:p w:rsidR="00CB63CD" w:rsidRDefault="00CB63CD">
      <w:pPr>
        <w:pStyle w:val="a3"/>
        <w:spacing w:before="0" w:beforeAutospacing="0" w:after="0" w:afterAutospacing="0" w:line="360" w:lineRule="auto"/>
        <w:ind w:firstLine="360"/>
        <w:jc w:val="both"/>
        <w:divId w:val="1758166652"/>
        <w:rPr>
          <w:rFonts w:ascii="Times New Roman" w:hAnsi="Times New Roman" w:cs="Times New Roman"/>
          <w:sz w:val="21"/>
          <w:szCs w:val="21"/>
        </w:rPr>
      </w:pPr>
      <w:r>
        <w:rPr>
          <w:rFonts w:cs="Times New Roman" w:hint="eastAsia"/>
          <w:sz w:val="18"/>
          <w:szCs w:val="18"/>
        </w:rPr>
        <w:t>②对于国外销售的产品，以产品发运、办理出口清关手续并取得报关单及货运提单时确认销售收入。</w:t>
      </w:r>
    </w:p>
    <w:p w:rsidR="00F068AD" w:rsidRDefault="00CB63CD">
      <w:pPr>
        <w:pStyle w:val="3"/>
        <w:spacing w:line="280" w:lineRule="exact"/>
        <w:jc w:val="left"/>
        <w:rPr>
          <w:rFonts w:ascii="宋体" w:hAnsi="宋体" w:cs="宋体"/>
          <w:b/>
          <w:bCs/>
        </w:rPr>
      </w:pPr>
      <w:bookmarkStart w:id="140" w:name="_Toc989029"/>
      <w:r>
        <w:rPr>
          <w:rFonts w:ascii="宋体" w:hAnsi="宋体" w:cs="宋体"/>
          <w:b/>
          <w:bCs/>
        </w:rPr>
        <w:t>32、政府补助</w:t>
      </w:r>
      <w:bookmarkEnd w:id="140"/>
    </w:p>
    <w:p w:rsidR="00CB63CD" w:rsidRDefault="00CB63CD">
      <w:pPr>
        <w:pStyle w:val="a3"/>
        <w:spacing w:before="0" w:beforeAutospacing="0" w:after="0" w:afterAutospacing="0" w:line="360" w:lineRule="auto"/>
        <w:ind w:firstLine="360"/>
        <w:jc w:val="both"/>
        <w:divId w:val="240873163"/>
        <w:rPr>
          <w:rFonts w:ascii="Times New Roman" w:hAnsi="Times New Roman" w:cs="Times New Roman"/>
          <w:sz w:val="21"/>
          <w:szCs w:val="21"/>
        </w:rPr>
      </w:pPr>
      <w:r>
        <w:rPr>
          <w:rFonts w:cs="Times New Roman" w:hint="eastAsia"/>
          <w:sz w:val="18"/>
          <w:szCs w:val="18"/>
        </w:rPr>
        <w:t>政府补助是指本公司从政府无偿取得货币性资产和非货币性资产，不包括政府作为所有者投入的资本。政府补助分为与资产相关的政府补助和与收益相关的政府补助。本公司将所取得的用于购建或以其他方式形成长期资产的政府补助界定为与资产相关的政府补助；其余政府补助界定为与收益相关的政府补助。若政府文件未明确规定补助对象，则采用以下方式将补助款划分为与收益相关的政府补助和与资产相关的政府补助：（1）政府文件明确了补助所针对的特定项目的，根据该特定项目的预算中将形成资产的支出金额和计入费用的支出金额的相对比例进行划分，对该划分比例需在每个资产负债表日进行复核，必要时进行变更；（2）政府文件中对用途仅作一般性表述，没有指明特定项目的，作为与收益相关的政府补助。</w:t>
      </w:r>
    </w:p>
    <w:p w:rsidR="00CB63CD" w:rsidRDefault="00CB63CD">
      <w:pPr>
        <w:pStyle w:val="a3"/>
        <w:spacing w:before="0" w:beforeAutospacing="0" w:after="0" w:afterAutospacing="0" w:line="360" w:lineRule="auto"/>
        <w:ind w:firstLine="360"/>
        <w:jc w:val="both"/>
        <w:divId w:val="240873163"/>
        <w:rPr>
          <w:rFonts w:ascii="Times New Roman" w:hAnsi="Times New Roman" w:cs="Times New Roman"/>
          <w:sz w:val="21"/>
          <w:szCs w:val="21"/>
        </w:rPr>
      </w:pPr>
      <w:r>
        <w:rPr>
          <w:rFonts w:cs="Times New Roman" w:hint="eastAsia"/>
          <w:sz w:val="18"/>
          <w:szCs w:val="18"/>
        </w:rPr>
        <w:lastRenderedPageBreak/>
        <w:t>政府补助为货币性资产的，按照收到或应收的金额计量。政府补助为非货币性资产的，按照公允价值计量；公允价值不能够可靠取得的，按照名义金额计量。</w:t>
      </w:r>
    </w:p>
    <w:p w:rsidR="00CB63CD" w:rsidRDefault="00CB63CD">
      <w:pPr>
        <w:pStyle w:val="a3"/>
        <w:spacing w:before="0" w:beforeAutospacing="0" w:after="0" w:afterAutospacing="0" w:line="360" w:lineRule="auto"/>
        <w:ind w:firstLine="360"/>
        <w:jc w:val="both"/>
        <w:divId w:val="240873163"/>
        <w:rPr>
          <w:rFonts w:ascii="Times New Roman" w:hAnsi="Times New Roman" w:cs="Times New Roman"/>
          <w:sz w:val="21"/>
          <w:szCs w:val="21"/>
        </w:rPr>
      </w:pPr>
      <w:r>
        <w:rPr>
          <w:rFonts w:cs="Times New Roman" w:hint="eastAsia"/>
          <w:sz w:val="18"/>
          <w:szCs w:val="18"/>
        </w:rPr>
        <w:t>政府补助同时满足下列条件的，予以确认：（1）企业能够满足政府补助所附条件；（2）企业能够收到政府补助。与企业日常活动相关的政府补助，按照经济业务实质，计入其他收益。与企业日常活动无关的政府补助，计入营业外收入。</w:t>
      </w:r>
    </w:p>
    <w:p w:rsidR="00CB63CD" w:rsidRDefault="00CB63CD">
      <w:pPr>
        <w:pStyle w:val="a3"/>
        <w:spacing w:before="0" w:beforeAutospacing="0" w:after="0" w:afterAutospacing="0" w:line="360" w:lineRule="auto"/>
        <w:ind w:firstLine="360"/>
        <w:jc w:val="both"/>
        <w:divId w:val="240873163"/>
        <w:rPr>
          <w:rFonts w:ascii="Times New Roman" w:hAnsi="Times New Roman" w:cs="Times New Roman"/>
          <w:sz w:val="21"/>
          <w:szCs w:val="21"/>
        </w:rPr>
      </w:pPr>
      <w:r>
        <w:rPr>
          <w:rFonts w:cs="Times New Roman" w:hint="eastAsia"/>
          <w:sz w:val="18"/>
          <w:szCs w:val="18"/>
        </w:rPr>
        <w:t>与收益相关的政府补助，用于补偿企业以后期间的相关成本费用或损失的，确认为递延收益，并在确认相关成本费用或损失的期间，计入当期损益；用于补偿企业已发生的相关成本费用或损失的，直接计入当期损益。</w:t>
      </w:r>
    </w:p>
    <w:p w:rsidR="00CB63CD" w:rsidRDefault="00CB63CD">
      <w:pPr>
        <w:pStyle w:val="a3"/>
        <w:spacing w:before="0" w:beforeAutospacing="0" w:after="0" w:afterAutospacing="0" w:line="360" w:lineRule="auto"/>
        <w:ind w:firstLine="360"/>
        <w:jc w:val="both"/>
        <w:divId w:val="240873163"/>
        <w:rPr>
          <w:rFonts w:ascii="Times New Roman" w:hAnsi="Times New Roman" w:cs="Times New Roman"/>
          <w:sz w:val="21"/>
          <w:szCs w:val="21"/>
        </w:rPr>
      </w:pPr>
      <w:r>
        <w:rPr>
          <w:rFonts w:cs="Times New Roman" w:hint="eastAsia"/>
          <w:sz w:val="18"/>
          <w:szCs w:val="18"/>
        </w:rPr>
        <w:t>与资产相关的政府补助，确认为递延收益，并按相关资产使用寿命分期计入损益。按照名义金额计量的政府补助，直接计入当期损益。相关资产在使用寿命结束前被出售、转让、报废或发生毁损的，应当将尚未分配的相关递延收益余额转入资产处置当期的损益。</w:t>
      </w:r>
    </w:p>
    <w:p w:rsidR="00F068AD" w:rsidRDefault="00CB63CD">
      <w:pPr>
        <w:pStyle w:val="3"/>
        <w:spacing w:line="280" w:lineRule="exact"/>
        <w:jc w:val="left"/>
        <w:rPr>
          <w:rFonts w:ascii="宋体" w:hAnsi="宋体" w:cs="宋体"/>
          <w:b/>
          <w:bCs/>
        </w:rPr>
      </w:pPr>
      <w:bookmarkStart w:id="141" w:name="_Toc989030"/>
      <w:r>
        <w:rPr>
          <w:rFonts w:ascii="宋体" w:hAnsi="宋体" w:cs="宋体"/>
          <w:b/>
          <w:bCs/>
        </w:rPr>
        <w:t>33、</w:t>
      </w:r>
      <w:bookmarkEnd w:id="141"/>
      <w:r w:rsidR="00C9693C">
        <w:rPr>
          <w:rFonts w:ascii="宋体" w:hAnsi="宋体" w:cs="宋体"/>
          <w:b/>
          <w:bCs/>
        </w:rPr>
        <w:t>所得税</w:t>
      </w:r>
    </w:p>
    <w:p w:rsidR="00CB63CD" w:rsidRDefault="00CB63CD">
      <w:pPr>
        <w:pStyle w:val="a3"/>
        <w:spacing w:before="0" w:beforeAutospacing="0" w:after="0" w:afterAutospacing="0" w:line="360" w:lineRule="auto"/>
        <w:ind w:firstLine="360"/>
        <w:jc w:val="both"/>
        <w:divId w:val="95371278"/>
        <w:rPr>
          <w:rFonts w:ascii="Times New Roman" w:hAnsi="Times New Roman" w:cs="Times New Roman"/>
          <w:sz w:val="21"/>
          <w:szCs w:val="21"/>
        </w:rPr>
      </w:pPr>
      <w:r>
        <w:rPr>
          <w:rFonts w:cs="Times New Roman" w:hint="eastAsia"/>
          <w:sz w:val="18"/>
          <w:szCs w:val="18"/>
        </w:rPr>
        <w:t>公司采用资产负债表债务法进行所得税会计处理。</w:t>
      </w:r>
    </w:p>
    <w:p w:rsidR="00CB63CD" w:rsidRDefault="00CB63CD">
      <w:pPr>
        <w:pStyle w:val="a3"/>
        <w:spacing w:before="0" w:beforeAutospacing="0" w:after="0" w:afterAutospacing="0" w:line="360" w:lineRule="auto"/>
        <w:ind w:firstLine="360"/>
        <w:jc w:val="both"/>
        <w:divId w:val="95371278"/>
        <w:rPr>
          <w:rFonts w:ascii="Times New Roman" w:hAnsi="Times New Roman" w:cs="Times New Roman"/>
          <w:sz w:val="21"/>
          <w:szCs w:val="21"/>
        </w:rPr>
      </w:pPr>
      <w:r>
        <w:rPr>
          <w:rFonts w:cs="Times New Roman" w:hint="eastAsia"/>
          <w:sz w:val="18"/>
          <w:szCs w:val="18"/>
        </w:rPr>
        <w:t>除与直接计入股东权益的交易或事项有关的所得税影响计入股东权益外，当期所得税费用和递延所得税费用（或收益）计入当期损益。</w:t>
      </w:r>
    </w:p>
    <w:p w:rsidR="00CB63CD" w:rsidRDefault="00CB63CD">
      <w:pPr>
        <w:pStyle w:val="a3"/>
        <w:spacing w:before="0" w:beforeAutospacing="0" w:after="0" w:afterAutospacing="0" w:line="360" w:lineRule="auto"/>
        <w:ind w:firstLine="360"/>
        <w:jc w:val="both"/>
        <w:divId w:val="95371278"/>
        <w:rPr>
          <w:rFonts w:ascii="Times New Roman" w:hAnsi="Times New Roman" w:cs="Times New Roman"/>
          <w:sz w:val="21"/>
          <w:szCs w:val="21"/>
        </w:rPr>
      </w:pPr>
      <w:r>
        <w:rPr>
          <w:rFonts w:cs="Times New Roman" w:hint="eastAsia"/>
          <w:sz w:val="18"/>
          <w:szCs w:val="18"/>
        </w:rPr>
        <w:t>当期所得税费用是按本年度应纳税所得额和税法规定的税率计算的预期应交所得税，加上对以前年度应交所得税的调整。</w:t>
      </w:r>
    </w:p>
    <w:p w:rsidR="00CB63CD" w:rsidRDefault="00CB63CD">
      <w:pPr>
        <w:pStyle w:val="a3"/>
        <w:spacing w:before="0" w:beforeAutospacing="0" w:after="0" w:afterAutospacing="0" w:line="360" w:lineRule="auto"/>
        <w:ind w:firstLine="360"/>
        <w:jc w:val="both"/>
        <w:divId w:val="95371278"/>
        <w:rPr>
          <w:rFonts w:ascii="Times New Roman" w:hAnsi="Times New Roman" w:cs="Times New Roman"/>
          <w:sz w:val="21"/>
          <w:szCs w:val="21"/>
        </w:rPr>
      </w:pPr>
      <w:r>
        <w:rPr>
          <w:rFonts w:cs="Times New Roman" w:hint="eastAsia"/>
          <w:sz w:val="18"/>
          <w:szCs w:val="18"/>
        </w:rPr>
        <w:t>资产负债表日，如果纳税主体拥有以净额结算的法定权利并且意图以净额结算或取得资产、清偿负债同时进行时，那么当期所得税资产及当期所得税负债以抵销后的净额列示。</w:t>
      </w:r>
    </w:p>
    <w:p w:rsidR="00CB63CD" w:rsidRDefault="00CB63CD">
      <w:pPr>
        <w:pStyle w:val="a3"/>
        <w:spacing w:before="0" w:beforeAutospacing="0" w:after="0" w:afterAutospacing="0" w:line="360" w:lineRule="auto"/>
        <w:ind w:firstLine="360"/>
        <w:jc w:val="both"/>
        <w:divId w:val="95371278"/>
        <w:rPr>
          <w:rFonts w:ascii="Times New Roman" w:hAnsi="Times New Roman" w:cs="Times New Roman"/>
          <w:sz w:val="21"/>
          <w:szCs w:val="21"/>
        </w:rPr>
      </w:pPr>
      <w:r>
        <w:rPr>
          <w:rFonts w:cs="Times New Roman" w:hint="eastAsia"/>
          <w:sz w:val="18"/>
          <w:szCs w:val="18"/>
        </w:rPr>
        <w:t>递延所得税资产和递延所得税负债分别根据可抵扣暂时性差异和应纳税暂时性差异确定，按照预期收回资产或清偿债务期间的适用税率计量。暂时性差异是指资产或负债的账面价值与其计税基础之间的差额，包括能够结转以后年度抵扣的亏损和税款递减。递延所得税资产的确认以很可能取得用来抵扣暂时性差异的应纳税所得额为限。</w:t>
      </w:r>
    </w:p>
    <w:p w:rsidR="00CB63CD" w:rsidRDefault="00CB63CD">
      <w:pPr>
        <w:pStyle w:val="a3"/>
        <w:spacing w:before="0" w:beforeAutospacing="0" w:after="0" w:afterAutospacing="0" w:line="360" w:lineRule="auto"/>
        <w:ind w:firstLine="360"/>
        <w:jc w:val="both"/>
        <w:divId w:val="95371278"/>
        <w:rPr>
          <w:rFonts w:ascii="Times New Roman" w:hAnsi="Times New Roman" w:cs="Times New Roman"/>
          <w:sz w:val="21"/>
          <w:szCs w:val="21"/>
        </w:rPr>
      </w:pPr>
      <w:r>
        <w:rPr>
          <w:rFonts w:cs="Times New Roman" w:hint="eastAsia"/>
          <w:sz w:val="18"/>
          <w:szCs w:val="18"/>
        </w:rPr>
        <w:t>对于既不影响会计利润也不影响应纳税所得额（或可抵扣亏损）的非企业合并交易中产生的资产或负债初始确认形成的暂时性差异，不确认递延所得税。商誉的初始确认导致的暂时性差异也不产生递延所得税。</w:t>
      </w:r>
    </w:p>
    <w:p w:rsidR="00CB63CD" w:rsidRDefault="00CB63CD">
      <w:pPr>
        <w:pStyle w:val="a3"/>
        <w:spacing w:before="0" w:beforeAutospacing="0" w:after="0" w:afterAutospacing="0" w:line="360" w:lineRule="auto"/>
        <w:ind w:firstLine="360"/>
        <w:jc w:val="both"/>
        <w:divId w:val="95371278"/>
        <w:rPr>
          <w:rFonts w:ascii="Times New Roman" w:hAnsi="Times New Roman" w:cs="Times New Roman"/>
          <w:sz w:val="21"/>
          <w:szCs w:val="21"/>
        </w:rPr>
      </w:pPr>
      <w:r>
        <w:rPr>
          <w:rFonts w:cs="Times New Roman" w:hint="eastAsia"/>
          <w:sz w:val="18"/>
          <w:szCs w:val="18"/>
        </w:rPr>
        <w:t>资产负债表日，根据递延所得税资产和负债的预期收回或结算方式，依据已颁布的税法规定，按照预期收回该资产或清偿该负债期间的适用税率计量该递延所得税资产和负债的账面金额。</w:t>
      </w:r>
    </w:p>
    <w:p w:rsidR="00CB63CD" w:rsidRDefault="00CB63CD">
      <w:pPr>
        <w:pStyle w:val="a3"/>
        <w:spacing w:before="0" w:beforeAutospacing="0" w:after="0" w:afterAutospacing="0" w:line="360" w:lineRule="auto"/>
        <w:ind w:firstLine="360"/>
        <w:jc w:val="both"/>
        <w:divId w:val="95371278"/>
        <w:rPr>
          <w:rFonts w:ascii="Times New Roman" w:hAnsi="Times New Roman" w:cs="Times New Roman"/>
          <w:sz w:val="21"/>
          <w:szCs w:val="21"/>
        </w:rPr>
      </w:pPr>
      <w:r>
        <w:rPr>
          <w:rFonts w:cs="Times New Roman" w:hint="eastAsia"/>
          <w:sz w:val="18"/>
          <w:szCs w:val="18"/>
        </w:rPr>
        <w:t>资产负债表日，递延所得税资产及递延所得税负债在同时满足以下条件时以抵销后的净额列示：</w:t>
      </w:r>
    </w:p>
    <w:p w:rsidR="00CB63CD" w:rsidRDefault="00CB63CD">
      <w:pPr>
        <w:pStyle w:val="a3"/>
        <w:spacing w:before="0" w:beforeAutospacing="0" w:after="0" w:afterAutospacing="0" w:line="360" w:lineRule="auto"/>
        <w:ind w:firstLine="360"/>
        <w:jc w:val="both"/>
        <w:divId w:val="95371278"/>
        <w:rPr>
          <w:rFonts w:ascii="Times New Roman" w:hAnsi="Times New Roman" w:cs="Times New Roman"/>
          <w:sz w:val="21"/>
          <w:szCs w:val="21"/>
        </w:rPr>
      </w:pPr>
      <w:r>
        <w:rPr>
          <w:rFonts w:cs="Times New Roman" w:hint="eastAsia"/>
          <w:sz w:val="18"/>
          <w:szCs w:val="18"/>
        </w:rPr>
        <w:t>（1）纳税主体拥有以净额结算当期所得税资产及当期所得税负债的法定权利；</w:t>
      </w:r>
    </w:p>
    <w:p w:rsidR="00CB63CD" w:rsidRDefault="00CB63CD">
      <w:pPr>
        <w:pStyle w:val="a3"/>
        <w:spacing w:before="0" w:beforeAutospacing="0" w:after="0" w:afterAutospacing="0" w:line="360" w:lineRule="auto"/>
        <w:ind w:firstLine="360"/>
        <w:jc w:val="both"/>
        <w:divId w:val="95371278"/>
        <w:rPr>
          <w:rFonts w:ascii="Times New Roman" w:hAnsi="Times New Roman" w:cs="Times New Roman"/>
          <w:sz w:val="21"/>
          <w:szCs w:val="21"/>
        </w:rPr>
      </w:pPr>
      <w:r>
        <w:rPr>
          <w:rFonts w:cs="Times New Roman" w:hint="eastAsia"/>
          <w:sz w:val="18"/>
          <w:szCs w:val="18"/>
        </w:rPr>
        <w:lastRenderedPageBreak/>
        <w:t>（2）递延所得税资产及递延所得税负债是与同一税收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w:t>
      </w:r>
    </w:p>
    <w:p w:rsidR="00F068AD" w:rsidRDefault="00CB63CD">
      <w:pPr>
        <w:pStyle w:val="3"/>
        <w:spacing w:line="280" w:lineRule="exact"/>
        <w:jc w:val="left"/>
        <w:rPr>
          <w:rFonts w:ascii="宋体" w:hAnsi="宋体" w:cs="宋体"/>
          <w:b/>
          <w:bCs/>
        </w:rPr>
      </w:pPr>
      <w:bookmarkStart w:id="142" w:name="_Toc989031"/>
      <w:r>
        <w:rPr>
          <w:rFonts w:ascii="宋体" w:hAnsi="宋体" w:cs="宋体"/>
          <w:b/>
          <w:bCs/>
        </w:rPr>
        <w:t>34、租赁</w:t>
      </w:r>
      <w:bookmarkEnd w:id="142"/>
    </w:p>
    <w:p w:rsidR="00CB63CD" w:rsidRDefault="00CB63CD">
      <w:pPr>
        <w:pStyle w:val="a3"/>
        <w:spacing w:before="0" w:beforeAutospacing="0" w:after="0" w:afterAutospacing="0" w:line="360" w:lineRule="auto"/>
        <w:ind w:firstLine="360"/>
        <w:jc w:val="both"/>
        <w:divId w:val="674497459"/>
        <w:rPr>
          <w:rFonts w:ascii="Times New Roman" w:hAnsi="Times New Roman" w:cs="Times New Roman"/>
          <w:sz w:val="21"/>
          <w:szCs w:val="21"/>
        </w:rPr>
      </w:pPr>
      <w:r>
        <w:rPr>
          <w:rFonts w:cs="Times New Roman" w:hint="eastAsia"/>
          <w:sz w:val="18"/>
          <w:szCs w:val="18"/>
        </w:rPr>
        <w:t>（1）租赁的识别</w:t>
      </w:r>
    </w:p>
    <w:p w:rsidR="00CB63CD" w:rsidRDefault="00CB63CD">
      <w:pPr>
        <w:pStyle w:val="a3"/>
        <w:spacing w:before="0" w:beforeAutospacing="0" w:after="0" w:afterAutospacing="0" w:line="360" w:lineRule="auto"/>
        <w:ind w:firstLine="360"/>
        <w:jc w:val="both"/>
        <w:divId w:val="674497459"/>
        <w:rPr>
          <w:rFonts w:ascii="Times New Roman" w:hAnsi="Times New Roman" w:cs="Times New Roman"/>
          <w:sz w:val="21"/>
          <w:szCs w:val="21"/>
        </w:rPr>
      </w:pPr>
      <w:r>
        <w:rPr>
          <w:rFonts w:cs="Times New Roman" w:hint="eastAsia"/>
          <w:sz w:val="18"/>
          <w:szCs w:val="18"/>
        </w:rPr>
        <w:t xml:space="preserve">在合同开始日，本公司评估合同是否为租赁或者包含租赁，如果合同中一方让渡了在一定期间内控制一项或多项已识别资产使用的权利以换取对价，则该合同为租赁或者包含租赁。为确定合同是否让渡了在一定期间内控制已识别资产使用的权利，本公司评估合同中的客户是否有权获得在使用期间内因使用已识别资产所产生的几乎全部经济利益，并有权在该使用期间主导已识别资产的使用。 </w:t>
      </w:r>
    </w:p>
    <w:p w:rsidR="00CB63CD" w:rsidRDefault="00CB63CD">
      <w:pPr>
        <w:pStyle w:val="a3"/>
        <w:spacing w:before="0" w:beforeAutospacing="0" w:after="0" w:afterAutospacing="0" w:line="360" w:lineRule="auto"/>
        <w:ind w:firstLine="360"/>
        <w:jc w:val="both"/>
        <w:divId w:val="674497459"/>
        <w:rPr>
          <w:rFonts w:ascii="Times New Roman" w:hAnsi="Times New Roman" w:cs="Times New Roman"/>
          <w:sz w:val="21"/>
          <w:szCs w:val="21"/>
        </w:rPr>
      </w:pPr>
      <w:r>
        <w:rPr>
          <w:rFonts w:cs="Times New Roman" w:hint="eastAsia"/>
          <w:sz w:val="18"/>
          <w:szCs w:val="18"/>
        </w:rPr>
        <w:t>（2）租赁期</w:t>
      </w:r>
    </w:p>
    <w:p w:rsidR="00CB63CD" w:rsidRDefault="00CB63CD">
      <w:pPr>
        <w:pStyle w:val="a3"/>
        <w:spacing w:before="0" w:beforeAutospacing="0" w:after="0" w:afterAutospacing="0" w:line="360" w:lineRule="auto"/>
        <w:ind w:firstLine="360"/>
        <w:jc w:val="both"/>
        <w:divId w:val="674497459"/>
        <w:rPr>
          <w:rFonts w:ascii="Times New Roman" w:hAnsi="Times New Roman" w:cs="Times New Roman"/>
          <w:sz w:val="21"/>
          <w:szCs w:val="21"/>
        </w:rPr>
      </w:pPr>
      <w:r>
        <w:rPr>
          <w:rFonts w:cs="Times New Roman" w:hint="eastAsia"/>
          <w:sz w:val="18"/>
          <w:szCs w:val="18"/>
        </w:rPr>
        <w:t>租赁期是本公司有权使用租赁资产且不可撤销的期间。有续租选择权，即有权选择续租该资产，且合理确定将行使该选择权的，租赁期还包含续租选择权涵盖的期间。本公司有终止租赁选择权，即有权选择终止租赁该资产，但合理确定将不会行使该选择权的，租赁期包含终止租赁选择权涵盖的期间。发生本公司可控范围内的重大事件或变化，且影响是否合理确定将行使相应选择权的，本公司对其是否合理确定将行使续租选择权、购买选择权或不行使终止租赁选择权进行重新评估。</w:t>
      </w:r>
    </w:p>
    <w:p w:rsidR="00CB63CD" w:rsidRDefault="00CB63CD">
      <w:pPr>
        <w:pStyle w:val="a3"/>
        <w:spacing w:before="0" w:beforeAutospacing="0" w:after="0" w:afterAutospacing="0" w:line="360" w:lineRule="auto"/>
        <w:ind w:firstLine="360"/>
        <w:jc w:val="both"/>
        <w:divId w:val="674497459"/>
        <w:rPr>
          <w:rFonts w:ascii="Times New Roman" w:hAnsi="Times New Roman" w:cs="Times New Roman"/>
          <w:sz w:val="21"/>
          <w:szCs w:val="21"/>
        </w:rPr>
      </w:pPr>
      <w:r>
        <w:rPr>
          <w:rFonts w:cs="Times New Roman" w:hint="eastAsia"/>
          <w:sz w:val="18"/>
          <w:szCs w:val="18"/>
        </w:rPr>
        <w:t>（3）租赁变更</w:t>
      </w:r>
    </w:p>
    <w:p w:rsidR="00CB63CD" w:rsidRDefault="00CB63CD">
      <w:pPr>
        <w:pStyle w:val="a3"/>
        <w:spacing w:before="0" w:beforeAutospacing="0" w:after="0" w:afterAutospacing="0" w:line="360" w:lineRule="auto"/>
        <w:ind w:firstLine="360"/>
        <w:jc w:val="both"/>
        <w:divId w:val="674497459"/>
        <w:rPr>
          <w:rFonts w:ascii="Times New Roman" w:hAnsi="Times New Roman" w:cs="Times New Roman"/>
          <w:sz w:val="21"/>
          <w:szCs w:val="21"/>
        </w:rPr>
      </w:pPr>
      <w:r>
        <w:rPr>
          <w:rFonts w:cs="Times New Roman" w:hint="eastAsia"/>
          <w:sz w:val="18"/>
          <w:szCs w:val="18"/>
        </w:rPr>
        <w:t>租赁变更是原合同条款之外的租赁范围、租赁对价、租赁期限的变更，包括增加或终止一项或多项租赁资产的使用权，延长或缩短合同规定的租赁期等。</w:t>
      </w:r>
    </w:p>
    <w:p w:rsidR="00C9693C" w:rsidRDefault="00CB63CD" w:rsidP="00C9693C">
      <w:pPr>
        <w:pStyle w:val="a3"/>
        <w:spacing w:before="0" w:beforeAutospacing="0" w:after="0" w:afterAutospacing="0" w:line="360" w:lineRule="auto"/>
        <w:ind w:firstLine="360"/>
        <w:jc w:val="both"/>
        <w:divId w:val="674497459"/>
        <w:rPr>
          <w:rFonts w:cs="Times New Roman"/>
          <w:sz w:val="18"/>
          <w:szCs w:val="18"/>
        </w:rPr>
      </w:pPr>
      <w:r>
        <w:rPr>
          <w:rFonts w:cs="Times New Roman" w:hint="eastAsia"/>
          <w:sz w:val="18"/>
          <w:szCs w:val="18"/>
        </w:rPr>
        <w:t>租赁发生变更且同时符合下列条件的，将该租赁变更作为一项单独租赁进行会计处理：</w:t>
      </w:r>
    </w:p>
    <w:p w:rsidR="00C9693C" w:rsidRDefault="00C9693C" w:rsidP="00C9693C">
      <w:pPr>
        <w:pStyle w:val="a3"/>
        <w:spacing w:before="0" w:beforeAutospacing="0" w:after="0" w:afterAutospacing="0" w:line="360" w:lineRule="auto"/>
        <w:ind w:firstLine="360"/>
        <w:jc w:val="both"/>
        <w:divId w:val="674497459"/>
        <w:rPr>
          <w:sz w:val="18"/>
          <w:szCs w:val="18"/>
        </w:rPr>
      </w:pPr>
      <w:r w:rsidRPr="00C9693C">
        <w:rPr>
          <w:rFonts w:cs="Times New Roman" w:hint="eastAsia"/>
          <w:sz w:val="18"/>
          <w:szCs w:val="18"/>
        </w:rPr>
        <w:t>1、</w:t>
      </w:r>
      <w:r w:rsidR="00CB63CD">
        <w:rPr>
          <w:rFonts w:hint="eastAsia"/>
          <w:sz w:val="18"/>
          <w:szCs w:val="18"/>
        </w:rPr>
        <w:t>该租赁变更通过增加一项或多项租赁资产的使用权而扩大了租赁范围；</w:t>
      </w:r>
    </w:p>
    <w:p w:rsidR="00CB63CD" w:rsidRDefault="00C9693C" w:rsidP="00C9693C">
      <w:pPr>
        <w:pStyle w:val="a3"/>
        <w:spacing w:before="0" w:beforeAutospacing="0" w:after="0" w:afterAutospacing="0" w:line="360" w:lineRule="auto"/>
        <w:ind w:firstLine="360"/>
        <w:jc w:val="both"/>
        <w:divId w:val="674497459"/>
        <w:rPr>
          <w:sz w:val="18"/>
          <w:szCs w:val="18"/>
        </w:rPr>
      </w:pPr>
      <w:r>
        <w:rPr>
          <w:rFonts w:hint="eastAsia"/>
          <w:sz w:val="18"/>
          <w:szCs w:val="18"/>
        </w:rPr>
        <w:t>2、</w:t>
      </w:r>
      <w:r w:rsidR="00CB63CD">
        <w:rPr>
          <w:rFonts w:hint="eastAsia"/>
          <w:sz w:val="18"/>
          <w:szCs w:val="18"/>
        </w:rPr>
        <w:t>增加的对价与租赁范围扩大部分的单独价格按该合同情况调整后的金额相当。</w:t>
      </w:r>
    </w:p>
    <w:p w:rsidR="00CB63CD" w:rsidRDefault="00CB63CD">
      <w:pPr>
        <w:pStyle w:val="a3"/>
        <w:spacing w:before="0" w:beforeAutospacing="0" w:after="0" w:afterAutospacing="0" w:line="360" w:lineRule="auto"/>
        <w:ind w:firstLine="360"/>
        <w:jc w:val="both"/>
        <w:divId w:val="674497459"/>
        <w:rPr>
          <w:rFonts w:ascii="Times New Roman" w:hAnsi="Times New Roman" w:cs="Times New Roman"/>
          <w:sz w:val="21"/>
          <w:szCs w:val="21"/>
        </w:rPr>
      </w:pPr>
      <w:r>
        <w:rPr>
          <w:rFonts w:cs="Times New Roman" w:hint="eastAsia"/>
          <w:sz w:val="18"/>
          <w:szCs w:val="18"/>
        </w:rPr>
        <w:t xml:space="preserve">租赁变更未作为一项单独租赁进行会计处理的，在租赁变更生效日，重新确定租赁期，并采用修订后的折现率对变更后的租赁付款额进行折现，以重新计量租赁负债。 </w:t>
      </w:r>
    </w:p>
    <w:p w:rsidR="00CB63CD" w:rsidRDefault="00CB63CD">
      <w:pPr>
        <w:pStyle w:val="a3"/>
        <w:spacing w:before="0" w:beforeAutospacing="0" w:after="0" w:afterAutospacing="0" w:line="360" w:lineRule="auto"/>
        <w:ind w:firstLine="360"/>
        <w:jc w:val="both"/>
        <w:divId w:val="674497459"/>
        <w:rPr>
          <w:rFonts w:ascii="Times New Roman" w:hAnsi="Times New Roman" w:cs="Times New Roman"/>
          <w:sz w:val="21"/>
          <w:szCs w:val="21"/>
        </w:rPr>
      </w:pPr>
      <w:r>
        <w:rPr>
          <w:rFonts w:cs="Times New Roman" w:hint="eastAsia"/>
          <w:sz w:val="18"/>
          <w:szCs w:val="18"/>
        </w:rPr>
        <w:t>租赁变更导致租赁范围缩小或租赁期缩短的，应当相应调减使用权资产的账面价值，并将部分终止或完全终止租赁的相关利得或损失计入当期损益。其他租赁变更导致租赁负债重新计量的，承租人应当相应调整使用权资产的账面价值。</w:t>
      </w:r>
    </w:p>
    <w:p w:rsidR="00CB63CD" w:rsidRDefault="00CB63CD">
      <w:pPr>
        <w:pStyle w:val="a3"/>
        <w:spacing w:before="0" w:beforeAutospacing="0" w:after="0" w:afterAutospacing="0" w:line="360" w:lineRule="auto"/>
        <w:ind w:firstLine="360"/>
        <w:jc w:val="both"/>
        <w:divId w:val="674497459"/>
        <w:rPr>
          <w:rFonts w:ascii="Times New Roman" w:hAnsi="Times New Roman" w:cs="Times New Roman"/>
          <w:sz w:val="21"/>
          <w:szCs w:val="21"/>
        </w:rPr>
      </w:pPr>
      <w:r>
        <w:rPr>
          <w:rFonts w:cs="Times New Roman" w:hint="eastAsia"/>
          <w:sz w:val="18"/>
          <w:szCs w:val="18"/>
        </w:rPr>
        <w:t>（4）承租人会计处理</w:t>
      </w:r>
    </w:p>
    <w:p w:rsidR="00CB63CD" w:rsidRDefault="00CB63CD">
      <w:pPr>
        <w:pStyle w:val="a3"/>
        <w:spacing w:before="0" w:beforeAutospacing="0" w:after="0" w:afterAutospacing="0" w:line="360" w:lineRule="auto"/>
        <w:ind w:firstLine="360"/>
        <w:jc w:val="both"/>
        <w:divId w:val="674497459"/>
        <w:rPr>
          <w:rFonts w:ascii="Times New Roman" w:hAnsi="Times New Roman" w:cs="Times New Roman"/>
          <w:sz w:val="21"/>
          <w:szCs w:val="21"/>
        </w:rPr>
      </w:pPr>
      <w:r>
        <w:rPr>
          <w:rFonts w:cs="Times New Roman" w:hint="eastAsia"/>
          <w:sz w:val="18"/>
          <w:szCs w:val="18"/>
        </w:rPr>
        <w:t>本公司将在租赁期开始日，租赁期不超过12个月，且不包含购买选择权的租赁认定为短期租赁；将单项租赁资产为全新资产时价值较低的租赁认定为低价值资产租赁。转租或预期转租租赁资产的，原租赁不认定为低价值资产租赁。本</w:t>
      </w:r>
      <w:r>
        <w:rPr>
          <w:rFonts w:cs="Times New Roman" w:hint="eastAsia"/>
          <w:sz w:val="18"/>
          <w:szCs w:val="18"/>
        </w:rPr>
        <w:lastRenderedPageBreak/>
        <w:t>公司对短期租赁和低价值资产租赁选择不确认使用权资产和租赁负债。在租赁期内各个期间按照直线法计入相关的资产成本或当期损益。</w:t>
      </w:r>
    </w:p>
    <w:p w:rsidR="00CB63CD" w:rsidRDefault="00CB63CD">
      <w:pPr>
        <w:pStyle w:val="a3"/>
        <w:spacing w:before="0" w:beforeAutospacing="0" w:after="0" w:afterAutospacing="0" w:line="360" w:lineRule="auto"/>
        <w:ind w:firstLine="360"/>
        <w:jc w:val="both"/>
        <w:divId w:val="674497459"/>
        <w:rPr>
          <w:rFonts w:ascii="Times New Roman" w:hAnsi="Times New Roman" w:cs="Times New Roman"/>
          <w:sz w:val="21"/>
          <w:szCs w:val="21"/>
        </w:rPr>
      </w:pPr>
      <w:r>
        <w:rPr>
          <w:rFonts w:cs="Times New Roman" w:hint="eastAsia"/>
          <w:sz w:val="18"/>
          <w:szCs w:val="18"/>
        </w:rPr>
        <w:t>除上述简化处理的短期租赁和低价值资产租赁外，本公司对已识别租赁确认使用权资产和租赁负债。使用权资产和租赁负债的初始及后续计量见附注五、22及附注五、28。</w:t>
      </w:r>
    </w:p>
    <w:p w:rsidR="00CB63CD" w:rsidRDefault="00CB63CD">
      <w:pPr>
        <w:pStyle w:val="a3"/>
        <w:spacing w:before="0" w:beforeAutospacing="0" w:after="0" w:afterAutospacing="0" w:line="360" w:lineRule="auto"/>
        <w:ind w:firstLine="360"/>
        <w:jc w:val="both"/>
        <w:divId w:val="674497459"/>
        <w:rPr>
          <w:rFonts w:ascii="Times New Roman" w:hAnsi="Times New Roman" w:cs="Times New Roman"/>
          <w:sz w:val="21"/>
          <w:szCs w:val="21"/>
        </w:rPr>
      </w:pPr>
      <w:r>
        <w:rPr>
          <w:rFonts w:cs="Times New Roman" w:hint="eastAsia"/>
          <w:sz w:val="18"/>
          <w:szCs w:val="18"/>
        </w:rPr>
        <w:t xml:space="preserve">（5）出租人会计处理 </w:t>
      </w:r>
    </w:p>
    <w:p w:rsidR="00CB63CD" w:rsidRDefault="00CB63CD">
      <w:pPr>
        <w:pStyle w:val="a3"/>
        <w:spacing w:before="0" w:beforeAutospacing="0" w:after="0" w:afterAutospacing="0" w:line="360" w:lineRule="auto"/>
        <w:ind w:firstLine="360"/>
        <w:jc w:val="both"/>
        <w:divId w:val="674497459"/>
        <w:rPr>
          <w:rFonts w:ascii="Times New Roman" w:hAnsi="Times New Roman" w:cs="Times New Roman"/>
          <w:sz w:val="21"/>
          <w:szCs w:val="21"/>
        </w:rPr>
      </w:pPr>
      <w:r>
        <w:rPr>
          <w:rFonts w:cs="Times New Roman" w:hint="eastAsia"/>
          <w:sz w:val="18"/>
          <w:szCs w:val="18"/>
        </w:rPr>
        <w:t>本公司在租赁开始日将租赁分为融资租赁和经营租赁。</w:t>
      </w:r>
    </w:p>
    <w:p w:rsidR="00CB63CD" w:rsidRDefault="00CB63CD">
      <w:pPr>
        <w:pStyle w:val="a3"/>
        <w:spacing w:before="0" w:beforeAutospacing="0" w:after="0" w:afterAutospacing="0" w:line="360" w:lineRule="auto"/>
        <w:ind w:firstLine="360"/>
        <w:jc w:val="both"/>
        <w:divId w:val="674497459"/>
        <w:rPr>
          <w:rFonts w:ascii="Times New Roman" w:hAnsi="Times New Roman" w:cs="Times New Roman"/>
          <w:sz w:val="21"/>
          <w:szCs w:val="21"/>
        </w:rPr>
      </w:pPr>
      <w:r>
        <w:rPr>
          <w:rFonts w:cs="Times New Roman" w:hint="eastAsia"/>
          <w:sz w:val="18"/>
          <w:szCs w:val="18"/>
        </w:rPr>
        <w:t>融资租赁，是指实质上转移了与租赁资产所有权有关的几乎全部风险和报酬的租赁。其所有权最终可能转移，也可能不转移。经营租赁，是指除融资租赁以外的其他租赁。本公司作为转租出租人时，基于原租赁产生的使用权资产对转租赁进行分类。但原租赁为短期租赁，且转租出租人对原租赁进行简化处理的，本公司将该转租赁分类为经营租赁。</w:t>
      </w:r>
    </w:p>
    <w:p w:rsidR="00CB63CD" w:rsidRDefault="00CB63CD">
      <w:pPr>
        <w:pStyle w:val="a3"/>
        <w:spacing w:before="0" w:beforeAutospacing="0" w:after="0" w:afterAutospacing="0" w:line="360" w:lineRule="auto"/>
        <w:ind w:firstLine="360"/>
        <w:jc w:val="both"/>
        <w:divId w:val="674497459"/>
        <w:rPr>
          <w:rFonts w:ascii="Times New Roman" w:hAnsi="Times New Roman" w:cs="Times New Roman"/>
          <w:sz w:val="21"/>
          <w:szCs w:val="21"/>
        </w:rPr>
      </w:pPr>
      <w:r>
        <w:rPr>
          <w:rFonts w:cs="Times New Roman" w:hint="eastAsia"/>
          <w:sz w:val="18"/>
          <w:szCs w:val="18"/>
        </w:rPr>
        <w:t xml:space="preserve">在租赁期开始日，本公司对融资租赁确认应收融资租赁款，并终止确认融资租赁资产。对应收融资租赁款进行初始计量时，以租赁投资净额作为应收融资租赁款的入账价值。租赁投资净额为未担保余值和租赁期开始日尚未收到的租赁收款额按照租赁内含利率折现的现值之和。未实现融资收益在租赁期内采用固定的周期性利率计算确认当期利息收入。取得的未纳入租赁投资净额计量的可变租赁付款额，在实际发生时计入当期损益。 </w:t>
      </w:r>
    </w:p>
    <w:p w:rsidR="00CB63CD" w:rsidRDefault="00CB63CD">
      <w:pPr>
        <w:pStyle w:val="a3"/>
        <w:spacing w:before="0" w:beforeAutospacing="0" w:after="0" w:afterAutospacing="0" w:line="360" w:lineRule="auto"/>
        <w:ind w:firstLine="360"/>
        <w:jc w:val="both"/>
        <w:divId w:val="674497459"/>
        <w:rPr>
          <w:rFonts w:ascii="Times New Roman" w:hAnsi="Times New Roman" w:cs="Times New Roman"/>
          <w:sz w:val="21"/>
          <w:szCs w:val="21"/>
        </w:rPr>
      </w:pPr>
      <w:r>
        <w:rPr>
          <w:rFonts w:cs="Times New Roman" w:hint="eastAsia"/>
          <w:sz w:val="18"/>
          <w:szCs w:val="18"/>
        </w:rPr>
        <w:t>在租赁期内各个期间，本公司采用直线法将经营租赁的租赁收款额确认为租金收入。取得的未计入租赁收款额的可变租赁付款额，在实际发生时计入当期损益。</w:t>
      </w:r>
    </w:p>
    <w:p w:rsidR="00F068AD" w:rsidRDefault="00CB63CD">
      <w:pPr>
        <w:pStyle w:val="3"/>
        <w:spacing w:line="280" w:lineRule="exact"/>
        <w:jc w:val="left"/>
        <w:rPr>
          <w:rFonts w:ascii="宋体" w:hAnsi="宋体" w:cs="宋体"/>
          <w:b/>
          <w:bCs/>
        </w:rPr>
      </w:pPr>
      <w:bookmarkStart w:id="143" w:name="_Toc989033"/>
      <w:r>
        <w:rPr>
          <w:rFonts w:ascii="宋体" w:hAnsi="宋体" w:cs="宋体"/>
          <w:b/>
          <w:bCs/>
        </w:rPr>
        <w:t>35、重要会计政策和会计估计变更</w:t>
      </w:r>
      <w:bookmarkEnd w:id="143"/>
    </w:p>
    <w:p w:rsidR="00F068AD" w:rsidRDefault="00CB63CD">
      <w:pPr>
        <w:keepNext/>
        <w:keepLines/>
        <w:spacing w:before="300" w:after="300" w:line="280" w:lineRule="exact"/>
        <w:outlineLvl w:val="3"/>
        <w:rPr>
          <w:rFonts w:ascii="宋体" w:eastAsia="宋体" w:hAnsi="宋体" w:cs="宋体"/>
          <w:b/>
          <w:bCs/>
          <w:sz w:val="18"/>
          <w:szCs w:val="18"/>
        </w:rPr>
      </w:pPr>
      <w:bookmarkStart w:id="144" w:name="_Toc989034"/>
      <w:r>
        <w:rPr>
          <w:rFonts w:ascii="宋体" w:eastAsia="宋体" w:hAnsi="宋体" w:cs="宋体"/>
          <w:b/>
          <w:bCs/>
          <w:sz w:val="18"/>
          <w:szCs w:val="18"/>
        </w:rPr>
        <w:t>（1） 重要会计政策变更</w:t>
      </w:r>
      <w:bookmarkEnd w:id="144"/>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keepNext/>
        <w:keepLines/>
        <w:spacing w:before="300" w:after="300" w:line="280" w:lineRule="exact"/>
        <w:outlineLvl w:val="3"/>
        <w:rPr>
          <w:rFonts w:ascii="宋体" w:eastAsia="宋体" w:hAnsi="宋体" w:cs="宋体"/>
          <w:b/>
          <w:bCs/>
          <w:sz w:val="18"/>
          <w:szCs w:val="18"/>
        </w:rPr>
      </w:pPr>
      <w:bookmarkStart w:id="145" w:name="_Toc989035"/>
      <w:r>
        <w:rPr>
          <w:rFonts w:ascii="宋体" w:eastAsia="宋体" w:hAnsi="宋体" w:cs="宋体"/>
          <w:b/>
          <w:bCs/>
          <w:sz w:val="18"/>
          <w:szCs w:val="18"/>
        </w:rPr>
        <w:t>（2） 重要会计估计变更</w:t>
      </w:r>
      <w:bookmarkEnd w:id="145"/>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pStyle w:val="2"/>
        <w:spacing w:before="300" w:after="300" w:line="320" w:lineRule="exact"/>
        <w:rPr>
          <w:rFonts w:ascii="宋体" w:eastAsia="宋体" w:hAnsi="宋体" w:cs="宋体"/>
          <w:b/>
          <w:bCs/>
          <w:sz w:val="24"/>
          <w:szCs w:val="24"/>
        </w:rPr>
      </w:pPr>
      <w:bookmarkStart w:id="146" w:name="_Toc989036"/>
      <w:r>
        <w:rPr>
          <w:rFonts w:ascii="宋体" w:eastAsia="宋体" w:hAnsi="宋体" w:cs="宋体"/>
          <w:b/>
          <w:bCs/>
          <w:sz w:val="24"/>
          <w:szCs w:val="24"/>
        </w:rPr>
        <w:t>六、税项</w:t>
      </w:r>
      <w:bookmarkEnd w:id="146"/>
    </w:p>
    <w:p w:rsidR="00F068AD" w:rsidRDefault="00CB63CD">
      <w:pPr>
        <w:pStyle w:val="3"/>
        <w:spacing w:line="280" w:lineRule="exact"/>
        <w:jc w:val="left"/>
        <w:rPr>
          <w:rFonts w:ascii="宋体" w:hAnsi="宋体" w:cs="宋体"/>
          <w:b/>
          <w:bCs/>
        </w:rPr>
      </w:pPr>
      <w:bookmarkStart w:id="147" w:name="_Toc989037"/>
      <w:r>
        <w:rPr>
          <w:rFonts w:ascii="宋体" w:hAnsi="宋体" w:cs="宋体"/>
          <w:b/>
          <w:bCs/>
        </w:rPr>
        <w:t>1、主要税种及税率</w:t>
      </w:r>
      <w:bookmarkEnd w:id="147"/>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税种</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计税依据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税率</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增值税</w:t>
            </w:r>
            <w:r w:rsidR="00E6733F">
              <w:rPr>
                <w:rFonts w:ascii="宋体" w:eastAsia="宋体" w:hAnsi="宋体" w:cs="宋体" w:hint="eastAsia"/>
                <w:sz w:val="18"/>
                <w:szCs w:val="18"/>
              </w:rPr>
              <w:t>（注）</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增值税计税销售额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投资管理业务6%；工业产品销售13%；码头业务6%；</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流转税额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5%、7%（码头业务）</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企业所得税</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应纳税所得额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25%</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流转税额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5%</w:t>
            </w:r>
          </w:p>
        </w:tc>
      </w:tr>
    </w:tbl>
    <w:p w:rsidR="00E6733F" w:rsidRDefault="00E6733F" w:rsidP="00E6733F">
      <w:pPr>
        <w:pStyle w:val="a3"/>
        <w:spacing w:before="0" w:beforeAutospacing="0" w:after="0" w:afterAutospacing="0" w:line="360" w:lineRule="auto"/>
        <w:ind w:firstLine="360"/>
      </w:pPr>
      <w:r>
        <w:rPr>
          <w:rFonts w:hint="eastAsia"/>
          <w:sz w:val="18"/>
          <w:szCs w:val="18"/>
        </w:rPr>
        <w:t>注：出口产品销项税实行零税率，同时按国家规定的出口退税率享受出口退税政策。</w:t>
      </w:r>
    </w:p>
    <w:p w:rsidR="00F068AD" w:rsidRDefault="00CB63CD">
      <w:pPr>
        <w:pStyle w:val="3"/>
        <w:spacing w:line="280" w:lineRule="exact"/>
        <w:jc w:val="left"/>
        <w:rPr>
          <w:rFonts w:ascii="宋体" w:hAnsi="宋体" w:cs="宋体"/>
          <w:b/>
          <w:bCs/>
        </w:rPr>
      </w:pPr>
      <w:bookmarkStart w:id="148" w:name="_Toc989038"/>
      <w:r>
        <w:rPr>
          <w:rFonts w:ascii="宋体" w:hAnsi="宋体" w:cs="宋体"/>
          <w:b/>
          <w:bCs/>
        </w:rPr>
        <w:lastRenderedPageBreak/>
        <w:t>2、税收优惠</w:t>
      </w:r>
      <w:bookmarkEnd w:id="148"/>
    </w:p>
    <w:p w:rsidR="00CB63CD" w:rsidRDefault="00CB63CD">
      <w:pPr>
        <w:pStyle w:val="a3"/>
        <w:divId w:val="1826043606"/>
        <w:rPr>
          <w:sz w:val="18"/>
          <w:szCs w:val="18"/>
        </w:rPr>
      </w:pPr>
      <w:r>
        <w:rPr>
          <w:rFonts w:hint="eastAsia"/>
          <w:sz w:val="18"/>
          <w:szCs w:val="18"/>
        </w:rPr>
        <w:t>无。</w:t>
      </w:r>
    </w:p>
    <w:p w:rsidR="00F068AD" w:rsidRDefault="00CB63CD">
      <w:pPr>
        <w:pStyle w:val="2"/>
        <w:spacing w:before="300" w:after="300" w:line="320" w:lineRule="exact"/>
        <w:rPr>
          <w:rFonts w:ascii="宋体" w:eastAsia="宋体" w:hAnsi="宋体" w:cs="宋体"/>
          <w:b/>
          <w:bCs/>
          <w:sz w:val="24"/>
          <w:szCs w:val="24"/>
        </w:rPr>
      </w:pPr>
      <w:bookmarkStart w:id="149" w:name="_Toc989040"/>
      <w:r>
        <w:rPr>
          <w:rFonts w:ascii="宋体" w:eastAsia="宋体" w:hAnsi="宋体" w:cs="宋体"/>
          <w:b/>
          <w:bCs/>
          <w:sz w:val="24"/>
          <w:szCs w:val="24"/>
        </w:rPr>
        <w:t>七、合并财务报表项目注释</w:t>
      </w:r>
      <w:bookmarkEnd w:id="149"/>
    </w:p>
    <w:p w:rsidR="00F068AD" w:rsidRDefault="00CB63CD">
      <w:pPr>
        <w:pStyle w:val="3"/>
        <w:spacing w:line="280" w:lineRule="exact"/>
        <w:jc w:val="left"/>
        <w:rPr>
          <w:rFonts w:ascii="宋体" w:hAnsi="宋体" w:cs="宋体"/>
          <w:b/>
          <w:bCs/>
        </w:rPr>
      </w:pPr>
      <w:bookmarkStart w:id="150" w:name="_Toc989041"/>
      <w:r>
        <w:rPr>
          <w:rFonts w:ascii="宋体" w:hAnsi="宋体" w:cs="宋体"/>
          <w:b/>
          <w:bCs/>
        </w:rPr>
        <w:t>1、货币资金</w:t>
      </w:r>
      <w:bookmarkEnd w:id="150"/>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库存现金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银行存款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622,311,063.80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487,592,333.71</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其他货币资金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150,319,658.33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108,422,326.74</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772,630,822.13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596,014,660.45</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rsidP="00E6733F">
            <w:pPr>
              <w:spacing w:before="40" w:after="40" w:line="240" w:lineRule="exact"/>
              <w:rPr>
                <w:rFonts w:ascii="宋体" w:eastAsia="宋体" w:hAnsi="宋体" w:cs="宋体"/>
                <w:sz w:val="18"/>
                <w:szCs w:val="18"/>
              </w:rPr>
            </w:pPr>
            <w:r>
              <w:rPr>
                <w:rFonts w:ascii="宋体" w:eastAsia="宋体" w:hAnsi="宋体" w:cs="宋体"/>
                <w:sz w:val="18"/>
                <w:szCs w:val="18"/>
              </w:rPr>
              <w:t>因抵押、质押或冻结等对使用有限制的款项总额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124,500,000.00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70,235,489.98</w:t>
            </w:r>
          </w:p>
        </w:tc>
      </w:tr>
    </w:tbl>
    <w:p w:rsidR="00CB63CD" w:rsidRDefault="00CB63CD">
      <w:pPr>
        <w:spacing w:before="100" w:beforeAutospacing="1" w:after="100" w:afterAutospacing="1"/>
        <w:ind w:firstLine="360"/>
        <w:divId w:val="988172073"/>
      </w:pPr>
      <w:r>
        <w:rPr>
          <w:rFonts w:hint="eastAsia"/>
          <w:sz w:val="18"/>
          <w:szCs w:val="18"/>
        </w:rPr>
        <w:t>其他货币资金明细：</w:t>
      </w:r>
    </w:p>
    <w:tbl>
      <w:tblPr>
        <w:tblW w:w="4939" w:type="pct"/>
        <w:tblCellMar>
          <w:left w:w="0" w:type="dxa"/>
          <w:right w:w="0" w:type="dxa"/>
        </w:tblCellMar>
        <w:tblLook w:val="04A0" w:firstRow="1" w:lastRow="0" w:firstColumn="1" w:lastColumn="0" w:noHBand="0" w:noVBand="1"/>
      </w:tblPr>
      <w:tblGrid>
        <w:gridCol w:w="3807"/>
        <w:gridCol w:w="2963"/>
        <w:gridCol w:w="2963"/>
      </w:tblGrid>
      <w:tr w:rsidR="00CB63CD">
        <w:trPr>
          <w:divId w:val="988172073"/>
          <w:trHeight w:val="340"/>
        </w:trPr>
        <w:tc>
          <w:tcPr>
            <w:tcW w:w="1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项   目</w:t>
            </w:r>
          </w:p>
        </w:tc>
        <w:tc>
          <w:tcPr>
            <w:tcW w:w="152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期末余额</w:t>
            </w:r>
          </w:p>
        </w:tc>
        <w:tc>
          <w:tcPr>
            <w:tcW w:w="152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期初余额</w:t>
            </w:r>
          </w:p>
        </w:tc>
      </w:tr>
      <w:tr w:rsidR="00CB63CD">
        <w:trPr>
          <w:divId w:val="988172073"/>
          <w:trHeight w:val="340"/>
        </w:trPr>
        <w:tc>
          <w:tcPr>
            <w:tcW w:w="195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rPr>
                <w:rFonts w:ascii="Times New Roman" w:hAnsi="Times New Roman" w:cs="Times New Roman"/>
                <w:sz w:val="21"/>
                <w:szCs w:val="21"/>
              </w:rPr>
            </w:pPr>
            <w:r>
              <w:rPr>
                <w:rFonts w:cs="Times New Roman" w:hint="eastAsia"/>
                <w:color w:val="000000"/>
                <w:sz w:val="18"/>
                <w:szCs w:val="18"/>
              </w:rPr>
              <w:t>借款保证金</w:t>
            </w:r>
          </w:p>
        </w:tc>
        <w:tc>
          <w:tcPr>
            <w:tcW w:w="15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109,500,000.00</w:t>
            </w:r>
          </w:p>
        </w:tc>
        <w:tc>
          <w:tcPr>
            <w:tcW w:w="15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21,512,576.02</w:t>
            </w:r>
          </w:p>
        </w:tc>
      </w:tr>
      <w:tr w:rsidR="00CB63CD">
        <w:trPr>
          <w:divId w:val="988172073"/>
          <w:trHeight w:val="340"/>
        </w:trPr>
        <w:tc>
          <w:tcPr>
            <w:tcW w:w="195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银行承兑汇票保证金</w:t>
            </w:r>
          </w:p>
        </w:tc>
        <w:tc>
          <w:tcPr>
            <w:tcW w:w="15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15,000,000.00</w:t>
            </w:r>
          </w:p>
        </w:tc>
        <w:tc>
          <w:tcPr>
            <w:tcW w:w="15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15,000,000.00</w:t>
            </w:r>
          </w:p>
        </w:tc>
      </w:tr>
      <w:tr w:rsidR="00CB63CD">
        <w:trPr>
          <w:divId w:val="988172073"/>
          <w:trHeight w:val="340"/>
        </w:trPr>
        <w:tc>
          <w:tcPr>
            <w:tcW w:w="195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信用证保证金</w:t>
            </w:r>
          </w:p>
        </w:tc>
        <w:tc>
          <w:tcPr>
            <w:tcW w:w="15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 xml:space="preserve">　</w:t>
            </w:r>
          </w:p>
        </w:tc>
        <w:tc>
          <w:tcPr>
            <w:tcW w:w="15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8,722,913.96</w:t>
            </w:r>
          </w:p>
        </w:tc>
      </w:tr>
      <w:tr w:rsidR="00CB63CD">
        <w:trPr>
          <w:divId w:val="988172073"/>
          <w:trHeight w:val="340"/>
        </w:trPr>
        <w:tc>
          <w:tcPr>
            <w:tcW w:w="195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质押物孳息</w:t>
            </w:r>
          </w:p>
        </w:tc>
        <w:tc>
          <w:tcPr>
            <w:tcW w:w="15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 xml:space="preserve">　</w:t>
            </w:r>
          </w:p>
        </w:tc>
        <w:tc>
          <w:tcPr>
            <w:tcW w:w="15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25,000,000.00</w:t>
            </w:r>
          </w:p>
        </w:tc>
      </w:tr>
      <w:tr w:rsidR="00CB63CD">
        <w:trPr>
          <w:divId w:val="988172073"/>
          <w:trHeight w:val="340"/>
        </w:trPr>
        <w:tc>
          <w:tcPr>
            <w:tcW w:w="195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存出投资款</w:t>
            </w:r>
          </w:p>
        </w:tc>
        <w:tc>
          <w:tcPr>
            <w:tcW w:w="15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25,819,658.33</w:t>
            </w:r>
          </w:p>
        </w:tc>
        <w:tc>
          <w:tcPr>
            <w:tcW w:w="15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38,186,836.76</w:t>
            </w:r>
          </w:p>
        </w:tc>
      </w:tr>
      <w:tr w:rsidR="00CB63CD">
        <w:trPr>
          <w:divId w:val="988172073"/>
          <w:trHeight w:val="340"/>
        </w:trPr>
        <w:tc>
          <w:tcPr>
            <w:tcW w:w="195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合  计</w:t>
            </w:r>
          </w:p>
        </w:tc>
        <w:tc>
          <w:tcPr>
            <w:tcW w:w="15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150,319,658.33</w:t>
            </w:r>
          </w:p>
        </w:tc>
        <w:tc>
          <w:tcPr>
            <w:tcW w:w="15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108,422,326.74</w:t>
            </w:r>
          </w:p>
        </w:tc>
      </w:tr>
    </w:tbl>
    <w:p w:rsidR="00CB63CD" w:rsidRDefault="00CB63CD">
      <w:pPr>
        <w:spacing w:before="100" w:beforeAutospacing="1" w:after="100" w:afterAutospacing="1" w:line="360" w:lineRule="auto"/>
        <w:ind w:firstLine="360"/>
        <w:divId w:val="988172073"/>
        <w:rPr>
          <w:sz w:val="24"/>
          <w:szCs w:val="24"/>
        </w:rPr>
      </w:pPr>
      <w:r>
        <w:rPr>
          <w:rFonts w:hint="eastAsia"/>
          <w:sz w:val="18"/>
          <w:szCs w:val="18"/>
        </w:rPr>
        <w:t>期末余额中除借款保证金、银行承兑汇票保证金外，没有抵押、质押、冻结等对变现有限制或存放境外且资金汇回受到限制的款项。</w:t>
      </w:r>
    </w:p>
    <w:p w:rsidR="00F068AD" w:rsidRDefault="00CB63CD">
      <w:pPr>
        <w:pStyle w:val="3"/>
        <w:spacing w:line="280" w:lineRule="exact"/>
        <w:jc w:val="left"/>
        <w:rPr>
          <w:rFonts w:ascii="宋体" w:hAnsi="宋体" w:cs="宋体"/>
          <w:b/>
          <w:bCs/>
        </w:rPr>
      </w:pPr>
      <w:bookmarkStart w:id="151" w:name="_Toc989042"/>
      <w:r>
        <w:rPr>
          <w:rFonts w:ascii="宋体" w:hAnsi="宋体" w:cs="宋体"/>
          <w:b/>
          <w:bCs/>
        </w:rPr>
        <w:t>2、交易性金融资产</w:t>
      </w:r>
      <w:bookmarkEnd w:id="151"/>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以公允价值计量且其变动计入当期损益的金融资产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410,786,826.55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754,949,214.92</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理财产品</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144,750,043.17</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基金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913,287.94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67,005,046.85</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债务工具投资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5,097,236.99</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2,504,000.00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404,776,301.62</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540,690,124.90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指定以公允价值计量且其变动计入当期损益的金融资产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410,786,826.55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754,949,214.92</w:t>
            </w:r>
          </w:p>
        </w:tc>
      </w:tr>
    </w:tbl>
    <w:p w:rsidR="00F068AD" w:rsidRDefault="00CB63CD">
      <w:pPr>
        <w:pStyle w:val="3"/>
        <w:spacing w:line="280" w:lineRule="exact"/>
        <w:jc w:val="left"/>
        <w:rPr>
          <w:rFonts w:ascii="宋体" w:hAnsi="宋体" w:cs="宋体"/>
          <w:b/>
          <w:bCs/>
        </w:rPr>
      </w:pPr>
      <w:bookmarkStart w:id="152" w:name="_Toc989043"/>
      <w:r>
        <w:rPr>
          <w:rFonts w:ascii="宋体" w:hAnsi="宋体" w:cs="宋体"/>
          <w:b/>
          <w:bCs/>
        </w:rPr>
        <w:t>3、应收账款</w:t>
      </w:r>
      <w:bookmarkEnd w:id="152"/>
    </w:p>
    <w:p w:rsidR="00F068AD" w:rsidRDefault="00CB63CD">
      <w:pPr>
        <w:keepNext/>
        <w:keepLines/>
        <w:spacing w:before="300" w:after="300" w:line="280" w:lineRule="exact"/>
        <w:outlineLvl w:val="3"/>
        <w:rPr>
          <w:rFonts w:ascii="宋体" w:eastAsia="宋体" w:hAnsi="宋体" w:cs="宋体"/>
          <w:b/>
          <w:bCs/>
          <w:szCs w:val="21"/>
        </w:rPr>
      </w:pPr>
      <w:bookmarkStart w:id="153" w:name="_Toc989044"/>
      <w:r>
        <w:rPr>
          <w:rFonts w:ascii="宋体" w:eastAsia="宋体" w:hAnsi="宋体" w:cs="宋体"/>
          <w:b/>
          <w:bCs/>
          <w:szCs w:val="21"/>
        </w:rPr>
        <w:t>（1） 应收账款分类披露</w:t>
      </w:r>
      <w:bookmarkEnd w:id="153"/>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F068AD">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068AD">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F068AD">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按单项计提坏账准备的应收账款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按组合计提坏账准备的应收账款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186,577,217.25</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15,165,698.55</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8.13%</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171,411,518.70</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119,331,154.16</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11,673,453.67</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9.78%</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107,657,700.49</w:t>
            </w:r>
          </w:p>
        </w:tc>
      </w:tr>
      <w:tr w:rsidR="00F068AD">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账龄组合</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186,577,217.25</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15,165,698.55</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8.13%</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171,411,518.70</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119,331,154.16</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11,673,453.67</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9.78%</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107,657,700.49</w:t>
            </w:r>
          </w:p>
        </w:tc>
      </w:tr>
      <w:tr w:rsidR="00F068AD">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186,577,217.25</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15,165,698.55</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8.13%</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171,411,518.70</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119,331,154.16</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11,673,453.67</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9.78%</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107,657,700.49</w:t>
            </w:r>
          </w:p>
        </w:tc>
      </w:tr>
    </w:tbl>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按组合计提坏账准备：15,165,698.55</w:t>
      </w:r>
    </w:p>
    <w:p w:rsidR="00F068AD" w:rsidRDefault="00CB63C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F068AD">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068AD">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按账龄组合计提坏账准备</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186,577,217.25</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15,165,698.55</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8.13%</w:t>
            </w:r>
          </w:p>
        </w:tc>
      </w:tr>
    </w:tbl>
    <w:p w:rsidR="00CB63CD" w:rsidRDefault="00CB63CD">
      <w:pPr>
        <w:divId w:val="300572371"/>
        <w:rPr>
          <w:sz w:val="18"/>
          <w:szCs w:val="18"/>
        </w:rPr>
      </w:pP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如是按照预期信用损失一般模型计提应收账款坏账准备，请参照其他应收款的披露方式披露坏账准备的相关信息：</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按账龄披露</w:t>
      </w:r>
    </w:p>
    <w:p w:rsidR="00F068AD" w:rsidRDefault="00CB63C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178,889,866.33</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1年以内</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178,889,866.33</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1,466,189.67</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6,859.90</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6,214,301.35</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3至4年</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283,546.13</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5年以上</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5,930,755.22</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186,577,217.25</w:t>
            </w:r>
          </w:p>
        </w:tc>
      </w:tr>
    </w:tbl>
    <w:p w:rsidR="00F068AD" w:rsidRDefault="00CB63CD">
      <w:pPr>
        <w:keepNext/>
        <w:keepLines/>
        <w:spacing w:before="300" w:after="300" w:line="280" w:lineRule="exact"/>
        <w:outlineLvl w:val="3"/>
        <w:rPr>
          <w:rFonts w:ascii="宋体" w:eastAsia="宋体" w:hAnsi="宋体" w:cs="宋体"/>
          <w:b/>
          <w:bCs/>
          <w:szCs w:val="21"/>
        </w:rPr>
      </w:pPr>
      <w:bookmarkStart w:id="154" w:name="_Toc989045"/>
      <w:r>
        <w:rPr>
          <w:rFonts w:ascii="宋体" w:eastAsia="宋体" w:hAnsi="宋体" w:cs="宋体"/>
          <w:b/>
          <w:bCs/>
          <w:szCs w:val="21"/>
        </w:rPr>
        <w:t>（2） 本期计提、收回或转回的坏账准备情况</w:t>
      </w:r>
      <w:bookmarkEnd w:id="154"/>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本期计提坏账准备情况：</w:t>
      </w:r>
    </w:p>
    <w:p w:rsidR="00F068AD" w:rsidRDefault="00CB63C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F068AD">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068AD">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11,673,453.67</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3,492,244.88</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15,165,698.55</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11,673,453.67</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3,492,244.88</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15,165,698.55</w:t>
            </w:r>
          </w:p>
        </w:tc>
      </w:tr>
    </w:tbl>
    <w:p w:rsidR="00F068AD" w:rsidRDefault="00CB63CD">
      <w:pPr>
        <w:keepNext/>
        <w:keepLines/>
        <w:spacing w:before="300" w:after="300" w:line="280" w:lineRule="exact"/>
        <w:outlineLvl w:val="3"/>
        <w:rPr>
          <w:rFonts w:ascii="宋体" w:eastAsia="宋体" w:hAnsi="宋体" w:cs="宋体"/>
          <w:b/>
          <w:bCs/>
          <w:szCs w:val="21"/>
        </w:rPr>
      </w:pPr>
      <w:bookmarkStart w:id="155" w:name="_Toc989046"/>
      <w:r>
        <w:rPr>
          <w:rFonts w:ascii="宋体" w:eastAsia="宋体" w:hAnsi="宋体" w:cs="宋体"/>
          <w:b/>
          <w:bCs/>
          <w:szCs w:val="21"/>
        </w:rPr>
        <w:t>（3） 本期实际核销的应收账款情况</w:t>
      </w:r>
      <w:bookmarkEnd w:id="155"/>
    </w:p>
    <w:p w:rsidR="00CB63CD" w:rsidRDefault="00CB63CD">
      <w:pPr>
        <w:pStyle w:val="a3"/>
        <w:divId w:val="75326737"/>
        <w:rPr>
          <w:sz w:val="18"/>
          <w:szCs w:val="18"/>
        </w:rPr>
      </w:pPr>
      <w:r>
        <w:rPr>
          <w:rFonts w:hint="eastAsia"/>
          <w:sz w:val="18"/>
          <w:szCs w:val="18"/>
        </w:rPr>
        <w:t>本报告期无实际核销的应收账款。</w:t>
      </w:r>
    </w:p>
    <w:p w:rsidR="00F068AD" w:rsidRDefault="00CB63CD">
      <w:pPr>
        <w:keepNext/>
        <w:keepLines/>
        <w:spacing w:before="300" w:after="300" w:line="280" w:lineRule="exact"/>
        <w:outlineLvl w:val="3"/>
        <w:rPr>
          <w:rFonts w:ascii="宋体" w:eastAsia="宋体" w:hAnsi="宋体" w:cs="宋体"/>
          <w:b/>
          <w:bCs/>
          <w:szCs w:val="21"/>
        </w:rPr>
      </w:pPr>
      <w:bookmarkStart w:id="156" w:name="_Toc989047"/>
      <w:r>
        <w:rPr>
          <w:rFonts w:ascii="宋体" w:eastAsia="宋体" w:hAnsi="宋体" w:cs="宋体"/>
          <w:b/>
          <w:bCs/>
          <w:szCs w:val="21"/>
        </w:rPr>
        <w:t>（4） 按欠款方归集的期末余额前五名的应收账款情况</w:t>
      </w:r>
      <w:bookmarkEnd w:id="156"/>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应收账款期末余额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占应收账款期末余额合计数的比例</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应收单位1</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30,598,679.31</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16.40%</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1,529,933.97</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应收单位2</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18,565,829.06</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9.95%</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928,291.45</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应收单位3</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14,826,566.49</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7.95%</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741,328.32</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应收单位4</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12,742,223.77</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6.83%</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637,111.19</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应收单位5</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11,495,252.36</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6.16%</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574,762.62</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88,228,550.99</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47.29%</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bl>
    <w:p w:rsidR="00F068AD" w:rsidRDefault="00CB63CD">
      <w:pPr>
        <w:keepNext/>
        <w:keepLines/>
        <w:spacing w:before="300" w:after="300" w:line="280" w:lineRule="exact"/>
        <w:outlineLvl w:val="3"/>
        <w:rPr>
          <w:rFonts w:ascii="宋体" w:eastAsia="宋体" w:hAnsi="宋体" w:cs="宋体"/>
          <w:b/>
          <w:bCs/>
          <w:szCs w:val="21"/>
        </w:rPr>
      </w:pPr>
      <w:bookmarkStart w:id="157" w:name="_Toc989048"/>
      <w:r>
        <w:rPr>
          <w:rFonts w:ascii="宋体" w:eastAsia="宋体" w:hAnsi="宋体" w:cs="宋体"/>
          <w:b/>
          <w:bCs/>
          <w:szCs w:val="21"/>
        </w:rPr>
        <w:t>（5） 因金融资产转移而终止确认的应收账款</w:t>
      </w:r>
      <w:bookmarkEnd w:id="157"/>
    </w:p>
    <w:p w:rsidR="00CB63CD" w:rsidRDefault="00CB63CD" w:rsidP="004E7CC3">
      <w:pPr>
        <w:pStyle w:val="a3"/>
        <w:divId w:val="1546596616"/>
        <w:rPr>
          <w:sz w:val="18"/>
          <w:szCs w:val="18"/>
        </w:rPr>
      </w:pPr>
      <w:r>
        <w:rPr>
          <w:rFonts w:hint="eastAsia"/>
          <w:sz w:val="18"/>
          <w:szCs w:val="18"/>
        </w:rPr>
        <w:t>公司无因金融资产转移而终止确认的</w:t>
      </w:r>
      <w:r>
        <w:rPr>
          <w:rFonts w:hint="eastAsia"/>
          <w:color w:val="000000"/>
          <w:sz w:val="18"/>
          <w:szCs w:val="18"/>
        </w:rPr>
        <w:t>应收账款</w:t>
      </w:r>
      <w:r>
        <w:rPr>
          <w:rFonts w:hint="eastAsia"/>
          <w:sz w:val="18"/>
          <w:szCs w:val="18"/>
        </w:rPr>
        <w:t>。</w:t>
      </w:r>
    </w:p>
    <w:p w:rsidR="00F068AD" w:rsidRDefault="00CB63CD">
      <w:pPr>
        <w:keepNext/>
        <w:keepLines/>
        <w:spacing w:before="300" w:after="300" w:line="280" w:lineRule="exact"/>
        <w:outlineLvl w:val="3"/>
        <w:rPr>
          <w:rFonts w:ascii="宋体" w:eastAsia="宋体" w:hAnsi="宋体" w:cs="宋体"/>
          <w:b/>
          <w:bCs/>
          <w:szCs w:val="21"/>
        </w:rPr>
      </w:pPr>
      <w:bookmarkStart w:id="158" w:name="_Toc989049"/>
      <w:r>
        <w:rPr>
          <w:rFonts w:ascii="宋体" w:eastAsia="宋体" w:hAnsi="宋体" w:cs="宋体"/>
          <w:b/>
          <w:bCs/>
          <w:szCs w:val="21"/>
        </w:rPr>
        <w:t>（6） 转移应收账款且继续涉入形成的资产、负债金额</w:t>
      </w:r>
      <w:bookmarkEnd w:id="158"/>
    </w:p>
    <w:p w:rsidR="00CB63CD" w:rsidRDefault="00CB63CD" w:rsidP="004E7CC3">
      <w:pPr>
        <w:spacing w:before="100" w:beforeAutospacing="1" w:after="100" w:afterAutospacing="1" w:line="360" w:lineRule="auto"/>
        <w:divId w:val="477453518"/>
      </w:pPr>
      <w:r>
        <w:rPr>
          <w:rFonts w:hint="eastAsia"/>
          <w:sz w:val="18"/>
          <w:szCs w:val="18"/>
        </w:rPr>
        <w:t>公司无转移</w:t>
      </w:r>
      <w:r>
        <w:rPr>
          <w:rFonts w:hint="eastAsia"/>
          <w:color w:val="000000"/>
          <w:sz w:val="18"/>
          <w:szCs w:val="18"/>
        </w:rPr>
        <w:t>应收账款</w:t>
      </w:r>
      <w:r>
        <w:rPr>
          <w:rFonts w:hint="eastAsia"/>
          <w:sz w:val="18"/>
          <w:szCs w:val="18"/>
        </w:rPr>
        <w:t>且继续涉入的资产和负债。</w:t>
      </w:r>
    </w:p>
    <w:p w:rsidR="00F068AD" w:rsidRDefault="00CB63CD">
      <w:pPr>
        <w:pStyle w:val="3"/>
        <w:spacing w:line="280" w:lineRule="exact"/>
        <w:jc w:val="left"/>
        <w:rPr>
          <w:rFonts w:ascii="宋体" w:hAnsi="宋体" w:cs="宋体"/>
          <w:b/>
          <w:bCs/>
        </w:rPr>
      </w:pPr>
      <w:bookmarkStart w:id="159" w:name="_Toc989050"/>
      <w:r>
        <w:rPr>
          <w:rFonts w:ascii="宋体" w:hAnsi="宋体" w:cs="宋体"/>
          <w:b/>
          <w:bCs/>
        </w:rPr>
        <w:t>4、应收款项融资</w:t>
      </w:r>
      <w:bookmarkEnd w:id="159"/>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银行承兑汇票</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201,486,827.19</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238,823,006.16</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201,486,827.19</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238,823,006.16</w:t>
            </w:r>
          </w:p>
        </w:tc>
      </w:tr>
    </w:tbl>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应收款项融资本期增减变动及公允价值变动情况</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如是按照预期信用损失一般模型计提应收款项融资减值准备，请参照其他应收款的披露方式披露减值准备的相关信息：</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CB63CD" w:rsidRDefault="00CB63CD">
      <w:pPr>
        <w:spacing w:before="100" w:beforeAutospacing="1" w:after="100" w:afterAutospacing="1"/>
        <w:ind w:firstLine="360"/>
        <w:divId w:val="220411610"/>
      </w:pPr>
      <w:r>
        <w:rPr>
          <w:rFonts w:hint="eastAsia"/>
          <w:sz w:val="18"/>
          <w:szCs w:val="18"/>
        </w:rPr>
        <w:t>期末公司已质押的应收票据：</w:t>
      </w:r>
    </w:p>
    <w:tbl>
      <w:tblPr>
        <w:tblW w:w="4877" w:type="pct"/>
        <w:tblCellMar>
          <w:left w:w="0" w:type="dxa"/>
          <w:right w:w="0" w:type="dxa"/>
        </w:tblCellMar>
        <w:tblLook w:val="04A0" w:firstRow="1" w:lastRow="0" w:firstColumn="1" w:lastColumn="0" w:noHBand="0" w:noVBand="1"/>
      </w:tblPr>
      <w:tblGrid>
        <w:gridCol w:w="3205"/>
        <w:gridCol w:w="3204"/>
        <w:gridCol w:w="3202"/>
      </w:tblGrid>
      <w:tr w:rsidR="00CB63CD">
        <w:trPr>
          <w:divId w:val="220411610"/>
          <w:trHeight w:val="300"/>
        </w:trPr>
        <w:tc>
          <w:tcPr>
            <w:tcW w:w="16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种类</w:t>
            </w:r>
          </w:p>
        </w:tc>
        <w:tc>
          <w:tcPr>
            <w:tcW w:w="16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期末余额</w:t>
            </w:r>
          </w:p>
        </w:tc>
        <w:tc>
          <w:tcPr>
            <w:tcW w:w="166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期初余额</w:t>
            </w:r>
          </w:p>
        </w:tc>
      </w:tr>
      <w:tr w:rsidR="00CB63CD">
        <w:trPr>
          <w:divId w:val="220411610"/>
          <w:trHeight w:val="285"/>
        </w:trPr>
        <w:tc>
          <w:tcPr>
            <w:tcW w:w="16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rPr>
                <w:rFonts w:ascii="Times New Roman" w:hAnsi="Times New Roman" w:cs="Times New Roman"/>
                <w:sz w:val="21"/>
                <w:szCs w:val="21"/>
              </w:rPr>
            </w:pPr>
            <w:r>
              <w:rPr>
                <w:rFonts w:cs="Times New Roman" w:hint="eastAsia"/>
                <w:color w:val="000000"/>
                <w:sz w:val="18"/>
                <w:szCs w:val="18"/>
              </w:rPr>
              <w:t>银行承兑汇票</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 xml:space="preserve">          150,657,760.92 </w:t>
            </w:r>
          </w:p>
        </w:tc>
        <w:tc>
          <w:tcPr>
            <w:tcW w:w="16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155,948,177.07</w:t>
            </w:r>
          </w:p>
        </w:tc>
      </w:tr>
      <w:tr w:rsidR="00CB63CD">
        <w:trPr>
          <w:divId w:val="220411610"/>
          <w:trHeight w:val="285"/>
        </w:trPr>
        <w:tc>
          <w:tcPr>
            <w:tcW w:w="16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rPr>
                <w:rFonts w:ascii="Times New Roman" w:hAnsi="Times New Roman" w:cs="Times New Roman"/>
                <w:sz w:val="21"/>
                <w:szCs w:val="21"/>
              </w:rPr>
            </w:pPr>
            <w:r>
              <w:rPr>
                <w:rFonts w:cs="Times New Roman" w:hint="eastAsia"/>
                <w:color w:val="000000"/>
                <w:sz w:val="18"/>
                <w:szCs w:val="18"/>
              </w:rPr>
              <w:t>商业承兑汇票</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 </w:t>
            </w:r>
          </w:p>
        </w:tc>
        <w:tc>
          <w:tcPr>
            <w:tcW w:w="16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 </w:t>
            </w:r>
          </w:p>
        </w:tc>
      </w:tr>
      <w:tr w:rsidR="00CB63CD">
        <w:trPr>
          <w:divId w:val="220411610"/>
          <w:trHeight w:val="285"/>
        </w:trPr>
        <w:tc>
          <w:tcPr>
            <w:tcW w:w="16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合  计</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 xml:space="preserve">          150,657,760.92 </w:t>
            </w:r>
          </w:p>
        </w:tc>
        <w:tc>
          <w:tcPr>
            <w:tcW w:w="16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155,948,177.07</w:t>
            </w:r>
          </w:p>
        </w:tc>
      </w:tr>
    </w:tbl>
    <w:p w:rsidR="00CB63CD" w:rsidRDefault="00CB63CD">
      <w:pPr>
        <w:spacing w:before="100" w:beforeAutospacing="1" w:after="100" w:afterAutospacing="1"/>
        <w:ind w:firstLine="360"/>
        <w:divId w:val="220411610"/>
      </w:pPr>
      <w:r>
        <w:rPr>
          <w:rFonts w:hint="eastAsia"/>
          <w:sz w:val="18"/>
          <w:szCs w:val="18"/>
        </w:rPr>
        <w:t>期末已背书或贴现且在资产负债表日尚未到期的应收票据：</w:t>
      </w:r>
    </w:p>
    <w:tbl>
      <w:tblPr>
        <w:tblW w:w="9684" w:type="dxa"/>
        <w:jc w:val="center"/>
        <w:tblCellMar>
          <w:left w:w="0" w:type="dxa"/>
          <w:right w:w="0" w:type="dxa"/>
        </w:tblCellMar>
        <w:tblLook w:val="04A0" w:firstRow="1" w:lastRow="0" w:firstColumn="1" w:lastColumn="0" w:noHBand="0" w:noVBand="1"/>
      </w:tblPr>
      <w:tblGrid>
        <w:gridCol w:w="3227"/>
        <w:gridCol w:w="3228"/>
        <w:gridCol w:w="3229"/>
      </w:tblGrid>
      <w:tr w:rsidR="00CB63CD">
        <w:trPr>
          <w:divId w:val="220411610"/>
          <w:trHeight w:val="340"/>
          <w:tblHeader/>
          <w:jc w:val="center"/>
        </w:trPr>
        <w:tc>
          <w:tcPr>
            <w:tcW w:w="28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ind w:firstLine="21"/>
              <w:jc w:val="center"/>
              <w:rPr>
                <w:rFonts w:ascii="Times New Roman" w:hAnsi="Times New Roman" w:cs="Times New Roman"/>
                <w:sz w:val="21"/>
                <w:szCs w:val="21"/>
              </w:rPr>
            </w:pPr>
            <w:r>
              <w:rPr>
                <w:rFonts w:cs="Times New Roman" w:hint="eastAsia"/>
                <w:spacing w:val="5"/>
                <w:sz w:val="18"/>
                <w:szCs w:val="18"/>
              </w:rPr>
              <w:t>种  类</w:t>
            </w:r>
          </w:p>
        </w:tc>
        <w:tc>
          <w:tcPr>
            <w:tcW w:w="28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pacing w:val="5"/>
                <w:sz w:val="18"/>
                <w:szCs w:val="18"/>
              </w:rPr>
              <w:t>期末终止确认金额</w:t>
            </w:r>
          </w:p>
        </w:tc>
        <w:tc>
          <w:tcPr>
            <w:tcW w:w="28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pacing w:val="5"/>
                <w:sz w:val="18"/>
                <w:szCs w:val="18"/>
              </w:rPr>
              <w:t>期末未终止确认金额</w:t>
            </w:r>
          </w:p>
        </w:tc>
      </w:tr>
      <w:tr w:rsidR="00CB63CD">
        <w:trPr>
          <w:divId w:val="220411610"/>
          <w:trHeight w:val="340"/>
          <w:jc w:val="center"/>
        </w:trPr>
        <w:tc>
          <w:tcPr>
            <w:tcW w:w="2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rPr>
                <w:rFonts w:ascii="Times New Roman" w:hAnsi="Times New Roman" w:cs="Times New Roman"/>
                <w:sz w:val="21"/>
                <w:szCs w:val="21"/>
              </w:rPr>
            </w:pPr>
            <w:r>
              <w:rPr>
                <w:rFonts w:cs="Times New Roman" w:hint="eastAsia"/>
                <w:spacing w:val="5"/>
                <w:sz w:val="18"/>
                <w:szCs w:val="18"/>
              </w:rPr>
              <w:t>银行承兑汇票</w:t>
            </w:r>
          </w:p>
        </w:tc>
        <w:tc>
          <w:tcPr>
            <w:tcW w:w="28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48,197,378.00</w:t>
            </w:r>
          </w:p>
        </w:tc>
        <w:tc>
          <w:tcPr>
            <w:tcW w:w="2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sz w:val="18"/>
                <w:szCs w:val="18"/>
              </w:rPr>
              <w:t> </w:t>
            </w:r>
          </w:p>
        </w:tc>
      </w:tr>
      <w:tr w:rsidR="00CB63CD">
        <w:trPr>
          <w:divId w:val="220411610"/>
          <w:trHeight w:val="340"/>
          <w:jc w:val="center"/>
        </w:trPr>
        <w:tc>
          <w:tcPr>
            <w:tcW w:w="2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spacing w:val="5"/>
                <w:sz w:val="18"/>
                <w:szCs w:val="18"/>
              </w:rPr>
              <w:t>商业承兑汇票</w:t>
            </w:r>
          </w:p>
        </w:tc>
        <w:tc>
          <w:tcPr>
            <w:tcW w:w="28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 xml:space="preserve">　</w:t>
            </w:r>
          </w:p>
        </w:tc>
        <w:tc>
          <w:tcPr>
            <w:tcW w:w="2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sz w:val="18"/>
                <w:szCs w:val="18"/>
              </w:rPr>
              <w:t> </w:t>
            </w:r>
          </w:p>
        </w:tc>
      </w:tr>
      <w:tr w:rsidR="00CB63CD">
        <w:trPr>
          <w:divId w:val="220411610"/>
          <w:trHeight w:val="340"/>
          <w:jc w:val="center"/>
        </w:trPr>
        <w:tc>
          <w:tcPr>
            <w:tcW w:w="2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pacing w:val="5"/>
                <w:sz w:val="18"/>
                <w:szCs w:val="18"/>
              </w:rPr>
              <w:t>合  计</w:t>
            </w:r>
          </w:p>
        </w:tc>
        <w:tc>
          <w:tcPr>
            <w:tcW w:w="28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48,197,378.00</w:t>
            </w:r>
          </w:p>
        </w:tc>
        <w:tc>
          <w:tcPr>
            <w:tcW w:w="2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sz w:val="18"/>
                <w:szCs w:val="18"/>
              </w:rPr>
              <w:t> </w:t>
            </w:r>
          </w:p>
        </w:tc>
      </w:tr>
    </w:tbl>
    <w:p w:rsidR="00CB63CD" w:rsidRDefault="00CB63CD">
      <w:pPr>
        <w:pStyle w:val="a3"/>
        <w:spacing w:before="0" w:beforeAutospacing="0" w:after="0" w:afterAutospacing="0" w:line="360" w:lineRule="auto"/>
        <w:ind w:right="26" w:firstLine="360"/>
        <w:jc w:val="both"/>
        <w:divId w:val="220411610"/>
        <w:rPr>
          <w:rFonts w:ascii="Times New Roman" w:hAnsi="Times New Roman" w:cs="Times New Roman"/>
          <w:sz w:val="21"/>
          <w:szCs w:val="21"/>
        </w:rPr>
      </w:pPr>
      <w:r>
        <w:rPr>
          <w:rFonts w:cs="Times New Roman" w:hint="eastAsia"/>
          <w:sz w:val="18"/>
          <w:szCs w:val="18"/>
        </w:rPr>
        <w:t>本公司视日常资金管理的需要，管理此类应收票据的业务模式为既以收取合同现金流量为目标又以出售为目标，故将应收票据分类为以公允价值计量且其变动计入其他综合收益的金融资产。</w:t>
      </w:r>
    </w:p>
    <w:p w:rsidR="00CB63CD" w:rsidRDefault="00CB63CD">
      <w:pPr>
        <w:pStyle w:val="a3"/>
        <w:spacing w:before="0" w:beforeAutospacing="0" w:after="0" w:afterAutospacing="0" w:line="360" w:lineRule="auto"/>
        <w:ind w:right="26" w:firstLine="360"/>
        <w:jc w:val="both"/>
        <w:divId w:val="220411610"/>
        <w:rPr>
          <w:rFonts w:ascii="Times New Roman" w:hAnsi="Times New Roman" w:cs="Times New Roman"/>
          <w:sz w:val="21"/>
          <w:szCs w:val="21"/>
        </w:rPr>
      </w:pPr>
      <w:r>
        <w:rPr>
          <w:rFonts w:cs="Times New Roman" w:hint="eastAsia"/>
          <w:sz w:val="18"/>
          <w:szCs w:val="18"/>
        </w:rPr>
        <w:t>期末公司银行承兑汇票，剩余期限较短，账面金额与公允价值相近。</w:t>
      </w:r>
    </w:p>
    <w:p w:rsidR="00F068AD" w:rsidRDefault="00CB63CD">
      <w:pPr>
        <w:pStyle w:val="3"/>
        <w:spacing w:line="280" w:lineRule="exact"/>
        <w:jc w:val="left"/>
        <w:rPr>
          <w:rFonts w:ascii="宋体" w:hAnsi="宋体" w:cs="宋体"/>
          <w:b/>
          <w:bCs/>
        </w:rPr>
      </w:pPr>
      <w:bookmarkStart w:id="160" w:name="_Toc989051"/>
      <w:r>
        <w:rPr>
          <w:rFonts w:ascii="宋体" w:hAnsi="宋体" w:cs="宋体"/>
          <w:b/>
          <w:bCs/>
        </w:rPr>
        <w:t>5、预付款项</w:t>
      </w:r>
      <w:bookmarkEnd w:id="160"/>
    </w:p>
    <w:p w:rsidR="00F068AD" w:rsidRDefault="00CB63CD">
      <w:pPr>
        <w:keepNext/>
        <w:keepLines/>
        <w:spacing w:before="300" w:after="300" w:line="280" w:lineRule="exact"/>
        <w:outlineLvl w:val="3"/>
        <w:rPr>
          <w:rFonts w:ascii="宋体" w:eastAsia="宋体" w:hAnsi="宋体" w:cs="宋体"/>
          <w:b/>
          <w:bCs/>
          <w:szCs w:val="21"/>
        </w:rPr>
      </w:pPr>
      <w:bookmarkStart w:id="161" w:name="_Toc989052"/>
      <w:r>
        <w:rPr>
          <w:rFonts w:ascii="宋体" w:eastAsia="宋体" w:hAnsi="宋体" w:cs="宋体"/>
          <w:b/>
          <w:bCs/>
          <w:szCs w:val="21"/>
        </w:rPr>
        <w:t>（1） 预付款项按账龄列示</w:t>
      </w:r>
      <w:bookmarkEnd w:id="161"/>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F068AD">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068AD">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1年以内</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69,930,543.20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98.63%</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10,924,386.00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90.76%</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611,540.72</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0.86%</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916,770.72</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7.62%</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190,560.02</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0.27%</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170,243.38</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1.41%</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172,511.00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0.24%</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24,675.00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0.21%</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70,905,154.94</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12,036,075.10</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bl>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账龄超过1年且金额重要的预付款项未及时结算原因的说明：</w:t>
      </w:r>
    </w:p>
    <w:p w:rsidR="00CB63CD" w:rsidRDefault="00CB63CD">
      <w:pPr>
        <w:spacing w:before="100" w:beforeAutospacing="1" w:after="100" w:afterAutospacing="1" w:line="360" w:lineRule="auto"/>
        <w:ind w:firstLine="360"/>
        <w:divId w:val="1360929511"/>
      </w:pPr>
      <w:r>
        <w:rPr>
          <w:rFonts w:hint="eastAsia"/>
          <w:sz w:val="18"/>
          <w:szCs w:val="18"/>
        </w:rPr>
        <w:t>账龄一年以上的预付账款为尚未结算的货款尾款。</w:t>
      </w:r>
    </w:p>
    <w:p w:rsidR="00F068AD" w:rsidRDefault="00CB63CD">
      <w:pPr>
        <w:keepNext/>
        <w:keepLines/>
        <w:spacing w:before="300" w:after="300" w:line="280" w:lineRule="exact"/>
        <w:outlineLvl w:val="3"/>
        <w:rPr>
          <w:rFonts w:ascii="宋体" w:eastAsia="宋体" w:hAnsi="宋体" w:cs="宋体"/>
          <w:b/>
          <w:bCs/>
          <w:szCs w:val="21"/>
        </w:rPr>
      </w:pPr>
      <w:bookmarkStart w:id="162" w:name="_Toc989053"/>
      <w:r>
        <w:rPr>
          <w:rFonts w:ascii="宋体" w:eastAsia="宋体" w:hAnsi="宋体" w:cs="宋体"/>
          <w:b/>
          <w:bCs/>
          <w:szCs w:val="21"/>
        </w:rPr>
        <w:t>（2） 按预付对象归集的期末余额前五名的预付款情况</w:t>
      </w:r>
      <w:bookmarkEnd w:id="162"/>
    </w:p>
    <w:tbl>
      <w:tblPr>
        <w:tblW w:w="5017" w:type="pct"/>
        <w:tblCellMar>
          <w:left w:w="0" w:type="dxa"/>
          <w:right w:w="0" w:type="dxa"/>
        </w:tblCellMar>
        <w:tblLook w:val="04A0" w:firstRow="1" w:lastRow="0" w:firstColumn="1" w:lastColumn="0" w:noHBand="0" w:noVBand="1"/>
      </w:tblPr>
      <w:tblGrid>
        <w:gridCol w:w="2472"/>
        <w:gridCol w:w="1977"/>
        <w:gridCol w:w="2142"/>
        <w:gridCol w:w="1319"/>
        <w:gridCol w:w="1977"/>
      </w:tblGrid>
      <w:tr w:rsidR="00CB63CD">
        <w:trPr>
          <w:divId w:val="1583753854"/>
          <w:trHeight w:val="340"/>
        </w:trPr>
        <w:tc>
          <w:tcPr>
            <w:tcW w:w="1250"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往来单位名称</w:t>
            </w:r>
          </w:p>
        </w:tc>
        <w:tc>
          <w:tcPr>
            <w:tcW w:w="1000"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期末余额</w:t>
            </w:r>
          </w:p>
        </w:tc>
        <w:tc>
          <w:tcPr>
            <w:tcW w:w="1083"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占预付账款总额比例</w:t>
            </w:r>
          </w:p>
        </w:tc>
        <w:tc>
          <w:tcPr>
            <w:tcW w:w="667"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账龄</w:t>
            </w:r>
          </w:p>
        </w:tc>
        <w:tc>
          <w:tcPr>
            <w:tcW w:w="1000"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款项性质</w:t>
            </w:r>
          </w:p>
        </w:tc>
      </w:tr>
      <w:tr w:rsidR="00CB63CD">
        <w:trPr>
          <w:divId w:val="1583753854"/>
          <w:trHeight w:val="340"/>
        </w:trPr>
        <w:tc>
          <w:tcPr>
            <w:tcW w:w="125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B63CD" w:rsidRDefault="00CB63CD">
            <w:pPr>
              <w:pStyle w:val="a3"/>
              <w:spacing w:before="0" w:beforeAutospacing="0" w:after="0" w:afterAutospacing="0"/>
              <w:rPr>
                <w:rFonts w:ascii="Times New Roman" w:hAnsi="Times New Roman" w:cs="Times New Roman"/>
                <w:sz w:val="21"/>
                <w:szCs w:val="21"/>
              </w:rPr>
            </w:pPr>
            <w:r>
              <w:rPr>
                <w:rFonts w:cs="Times New Roman" w:hint="eastAsia"/>
                <w:color w:val="000000"/>
                <w:sz w:val="18"/>
                <w:szCs w:val="18"/>
              </w:rPr>
              <w:t>预付单位1</w:t>
            </w:r>
          </w:p>
        </w:tc>
        <w:tc>
          <w:tcPr>
            <w:tcW w:w="100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23,564,824.00</w:t>
            </w:r>
          </w:p>
        </w:tc>
        <w:tc>
          <w:tcPr>
            <w:tcW w:w="108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33.23%</w:t>
            </w:r>
          </w:p>
        </w:tc>
        <w:tc>
          <w:tcPr>
            <w:tcW w:w="66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1年以内</w:t>
            </w:r>
          </w:p>
        </w:tc>
        <w:tc>
          <w:tcPr>
            <w:tcW w:w="100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材料款</w:t>
            </w:r>
          </w:p>
        </w:tc>
      </w:tr>
      <w:tr w:rsidR="00CB63CD">
        <w:trPr>
          <w:divId w:val="1583753854"/>
          <w:trHeight w:val="340"/>
        </w:trPr>
        <w:tc>
          <w:tcPr>
            <w:tcW w:w="125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B63CD" w:rsidRDefault="00CB63CD">
            <w:pPr>
              <w:pStyle w:val="a3"/>
              <w:spacing w:before="0" w:beforeAutospacing="0" w:after="0" w:afterAutospacing="0"/>
              <w:rPr>
                <w:rFonts w:ascii="Times New Roman" w:hAnsi="Times New Roman" w:cs="Times New Roman"/>
                <w:sz w:val="21"/>
                <w:szCs w:val="21"/>
              </w:rPr>
            </w:pPr>
            <w:r>
              <w:rPr>
                <w:rFonts w:cs="Times New Roman" w:hint="eastAsia"/>
                <w:color w:val="000000"/>
                <w:sz w:val="18"/>
                <w:szCs w:val="18"/>
              </w:rPr>
              <w:t>预付单位2</w:t>
            </w:r>
          </w:p>
        </w:tc>
        <w:tc>
          <w:tcPr>
            <w:tcW w:w="100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16,434,360.00</w:t>
            </w:r>
          </w:p>
        </w:tc>
        <w:tc>
          <w:tcPr>
            <w:tcW w:w="108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23.18%</w:t>
            </w:r>
          </w:p>
        </w:tc>
        <w:tc>
          <w:tcPr>
            <w:tcW w:w="66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1年以内</w:t>
            </w:r>
          </w:p>
        </w:tc>
        <w:tc>
          <w:tcPr>
            <w:tcW w:w="1000" w:type="pct"/>
            <w:tcBorders>
              <w:top w:val="nil"/>
              <w:left w:val="nil"/>
              <w:bottom w:val="single" w:sz="8" w:space="0" w:color="auto"/>
              <w:right w:val="single" w:sz="8" w:space="0" w:color="auto"/>
            </w:tcBorders>
            <w:noWrap/>
            <w:tcMar>
              <w:top w:w="0" w:type="dxa"/>
              <w:left w:w="108" w:type="dxa"/>
              <w:bottom w:w="0" w:type="dxa"/>
              <w:right w:w="108" w:type="dxa"/>
            </w:tcMa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材料款</w:t>
            </w:r>
          </w:p>
        </w:tc>
      </w:tr>
      <w:tr w:rsidR="00CB63CD" w:rsidTr="00E6733F">
        <w:trPr>
          <w:divId w:val="1583753854"/>
          <w:trHeight w:val="340"/>
        </w:trPr>
        <w:tc>
          <w:tcPr>
            <w:tcW w:w="1250" w:type="pct"/>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rsidR="00CB63CD" w:rsidRDefault="00CB63CD">
            <w:pPr>
              <w:pStyle w:val="a3"/>
              <w:spacing w:before="0" w:beforeAutospacing="0" w:after="0" w:afterAutospacing="0"/>
              <w:rPr>
                <w:rFonts w:ascii="Times New Roman" w:hAnsi="Times New Roman" w:cs="Times New Roman"/>
                <w:sz w:val="21"/>
                <w:szCs w:val="21"/>
              </w:rPr>
            </w:pPr>
            <w:r>
              <w:rPr>
                <w:rFonts w:cs="Times New Roman" w:hint="eastAsia"/>
                <w:color w:val="000000"/>
                <w:sz w:val="18"/>
                <w:szCs w:val="18"/>
              </w:rPr>
              <w:t>预付单位3</w:t>
            </w:r>
          </w:p>
        </w:tc>
        <w:tc>
          <w:tcPr>
            <w:tcW w:w="1000" w:type="pct"/>
            <w:tcBorders>
              <w:top w:val="nil"/>
              <w:left w:val="nil"/>
              <w:bottom w:val="single" w:sz="4" w:space="0" w:color="auto"/>
              <w:right w:val="single" w:sz="8" w:space="0" w:color="auto"/>
            </w:tcBorders>
            <w:noWrap/>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11,100,000.00</w:t>
            </w:r>
          </w:p>
        </w:tc>
        <w:tc>
          <w:tcPr>
            <w:tcW w:w="1083" w:type="pct"/>
            <w:tcBorders>
              <w:top w:val="nil"/>
              <w:left w:val="nil"/>
              <w:bottom w:val="single" w:sz="4" w:space="0" w:color="auto"/>
              <w:right w:val="single" w:sz="8" w:space="0" w:color="auto"/>
            </w:tcBorders>
            <w:noWrap/>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15.65%</w:t>
            </w:r>
          </w:p>
        </w:tc>
        <w:tc>
          <w:tcPr>
            <w:tcW w:w="667" w:type="pct"/>
            <w:tcBorders>
              <w:top w:val="nil"/>
              <w:left w:val="nil"/>
              <w:bottom w:val="single" w:sz="4" w:space="0" w:color="auto"/>
              <w:right w:val="single" w:sz="8" w:space="0" w:color="auto"/>
            </w:tcBorders>
            <w:noWrap/>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1年以内</w:t>
            </w:r>
          </w:p>
        </w:tc>
        <w:tc>
          <w:tcPr>
            <w:tcW w:w="1000" w:type="pct"/>
            <w:tcBorders>
              <w:top w:val="nil"/>
              <w:left w:val="nil"/>
              <w:bottom w:val="single" w:sz="4" w:space="0" w:color="auto"/>
              <w:right w:val="single" w:sz="8" w:space="0" w:color="auto"/>
            </w:tcBorders>
            <w:noWrap/>
            <w:tcMar>
              <w:top w:w="0" w:type="dxa"/>
              <w:left w:w="108" w:type="dxa"/>
              <w:bottom w:w="0" w:type="dxa"/>
              <w:right w:w="108" w:type="dxa"/>
            </w:tcMa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材料款</w:t>
            </w:r>
          </w:p>
        </w:tc>
      </w:tr>
      <w:tr w:rsidR="00CB63CD" w:rsidTr="00E6733F">
        <w:trPr>
          <w:divId w:val="1583753854"/>
          <w:trHeight w:val="340"/>
        </w:trPr>
        <w:tc>
          <w:tcPr>
            <w:tcW w:w="125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CB63CD" w:rsidRDefault="00CB63CD">
            <w:pPr>
              <w:pStyle w:val="a3"/>
              <w:spacing w:before="0" w:beforeAutospacing="0" w:after="0" w:afterAutospacing="0"/>
              <w:rPr>
                <w:rFonts w:ascii="Times New Roman" w:hAnsi="Times New Roman" w:cs="Times New Roman"/>
                <w:sz w:val="21"/>
                <w:szCs w:val="21"/>
              </w:rPr>
            </w:pPr>
            <w:r>
              <w:rPr>
                <w:rFonts w:cs="Times New Roman" w:hint="eastAsia"/>
                <w:color w:val="000000"/>
                <w:sz w:val="18"/>
                <w:szCs w:val="18"/>
              </w:rPr>
              <w:lastRenderedPageBreak/>
              <w:t>预付单位4</w:t>
            </w:r>
          </w:p>
        </w:tc>
        <w:tc>
          <w:tcPr>
            <w:tcW w:w="10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6,261,018.47</w:t>
            </w:r>
          </w:p>
        </w:tc>
        <w:tc>
          <w:tcPr>
            <w:tcW w:w="108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8.83%</w:t>
            </w:r>
          </w:p>
        </w:tc>
        <w:tc>
          <w:tcPr>
            <w:tcW w:w="66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1年以内</w:t>
            </w:r>
          </w:p>
        </w:tc>
        <w:tc>
          <w:tcPr>
            <w:tcW w:w="10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材料款</w:t>
            </w:r>
          </w:p>
        </w:tc>
      </w:tr>
      <w:tr w:rsidR="00CB63CD" w:rsidTr="00E6733F">
        <w:trPr>
          <w:divId w:val="1583753854"/>
          <w:trHeight w:val="340"/>
        </w:trPr>
        <w:tc>
          <w:tcPr>
            <w:tcW w:w="1250" w:type="pct"/>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B63CD" w:rsidRDefault="00CB63CD">
            <w:pPr>
              <w:pStyle w:val="a3"/>
              <w:spacing w:before="0" w:beforeAutospacing="0" w:after="0" w:afterAutospacing="0"/>
              <w:rPr>
                <w:rFonts w:ascii="Times New Roman" w:hAnsi="Times New Roman" w:cs="Times New Roman"/>
                <w:sz w:val="21"/>
                <w:szCs w:val="21"/>
              </w:rPr>
            </w:pPr>
            <w:r>
              <w:rPr>
                <w:rFonts w:cs="Times New Roman" w:hint="eastAsia"/>
                <w:color w:val="000000"/>
                <w:sz w:val="18"/>
                <w:szCs w:val="18"/>
              </w:rPr>
              <w:t>预付单位5</w:t>
            </w:r>
          </w:p>
        </w:tc>
        <w:tc>
          <w:tcPr>
            <w:tcW w:w="1000" w:type="pct"/>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5,125,848.71</w:t>
            </w:r>
          </w:p>
        </w:tc>
        <w:tc>
          <w:tcPr>
            <w:tcW w:w="1083" w:type="pct"/>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7.23%</w:t>
            </w:r>
          </w:p>
        </w:tc>
        <w:tc>
          <w:tcPr>
            <w:tcW w:w="667" w:type="pct"/>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1年以内</w:t>
            </w:r>
          </w:p>
        </w:tc>
        <w:tc>
          <w:tcPr>
            <w:tcW w:w="1000" w:type="pct"/>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天然气款</w:t>
            </w:r>
          </w:p>
        </w:tc>
      </w:tr>
      <w:tr w:rsidR="00CB63CD">
        <w:trPr>
          <w:divId w:val="1583753854"/>
          <w:trHeight w:val="340"/>
        </w:trPr>
        <w:tc>
          <w:tcPr>
            <w:tcW w:w="125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合  计</w:t>
            </w:r>
          </w:p>
        </w:tc>
        <w:tc>
          <w:tcPr>
            <w:tcW w:w="100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62,486,051.18</w:t>
            </w:r>
          </w:p>
        </w:tc>
        <w:tc>
          <w:tcPr>
            <w:tcW w:w="108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88.12%</w:t>
            </w:r>
          </w:p>
        </w:tc>
        <w:tc>
          <w:tcPr>
            <w:tcW w:w="66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 xml:space="preserve">　</w:t>
            </w:r>
          </w:p>
        </w:tc>
        <w:tc>
          <w:tcPr>
            <w:tcW w:w="100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 xml:space="preserve">　</w:t>
            </w:r>
          </w:p>
        </w:tc>
      </w:tr>
    </w:tbl>
    <w:p w:rsidR="00F068AD" w:rsidRDefault="00CB63CD">
      <w:pPr>
        <w:pStyle w:val="3"/>
        <w:spacing w:line="280" w:lineRule="exact"/>
        <w:jc w:val="left"/>
        <w:rPr>
          <w:rFonts w:ascii="宋体" w:hAnsi="宋体" w:cs="宋体"/>
          <w:b/>
          <w:bCs/>
        </w:rPr>
      </w:pPr>
      <w:bookmarkStart w:id="163" w:name="_Toc989054"/>
      <w:r>
        <w:rPr>
          <w:rFonts w:ascii="宋体" w:hAnsi="宋体" w:cs="宋体"/>
          <w:b/>
          <w:bCs/>
        </w:rPr>
        <w:t>6、其他应收款</w:t>
      </w:r>
      <w:bookmarkEnd w:id="163"/>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54,412,157.62</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979,805.96</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1,113,807.69</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55,391,963.58</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1,113,807.69</w:t>
            </w:r>
          </w:p>
        </w:tc>
      </w:tr>
    </w:tbl>
    <w:p w:rsidR="00F068AD" w:rsidRDefault="00CB63CD">
      <w:pPr>
        <w:keepNext/>
        <w:keepLines/>
        <w:spacing w:before="300" w:after="300" w:line="280" w:lineRule="exact"/>
        <w:outlineLvl w:val="3"/>
        <w:rPr>
          <w:rFonts w:ascii="宋体" w:eastAsia="宋体" w:hAnsi="宋体" w:cs="宋体"/>
          <w:b/>
          <w:bCs/>
          <w:szCs w:val="21"/>
        </w:rPr>
      </w:pPr>
      <w:bookmarkStart w:id="164" w:name="_Toc989055"/>
      <w:r>
        <w:rPr>
          <w:rFonts w:ascii="宋体" w:eastAsia="宋体" w:hAnsi="宋体" w:cs="宋体"/>
          <w:b/>
          <w:bCs/>
          <w:szCs w:val="21"/>
        </w:rPr>
        <w:t>（1） 应收股利</w:t>
      </w:r>
      <w:bookmarkEnd w:id="164"/>
    </w:p>
    <w:p w:rsidR="00F068AD" w:rsidRDefault="00CB63CD">
      <w:pPr>
        <w:keepNext/>
        <w:keepLines/>
        <w:spacing w:before="300" w:after="300" w:line="280" w:lineRule="exact"/>
        <w:outlineLvl w:val="4"/>
        <w:rPr>
          <w:rFonts w:ascii="宋体" w:eastAsia="宋体" w:hAnsi="宋体" w:cs="宋体"/>
          <w:b/>
          <w:bCs/>
          <w:szCs w:val="21"/>
        </w:rPr>
      </w:pPr>
      <w:bookmarkStart w:id="165" w:name="_Toc989056"/>
      <w:r>
        <w:rPr>
          <w:rFonts w:ascii="宋体" w:eastAsia="宋体" w:hAnsi="宋体" w:cs="宋体"/>
          <w:b/>
          <w:bCs/>
          <w:szCs w:val="21"/>
        </w:rPr>
        <w:t>1） 应收股利分类</w:t>
      </w:r>
      <w:bookmarkEnd w:id="165"/>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项目(或被投资单位)</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一村资本有限公司</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40,924,157.62</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浙江稠州商业银行股份有限公司</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13,488,000.00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54,412,157.62</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bl>
    <w:p w:rsidR="00F068AD" w:rsidRDefault="00CB63CD">
      <w:pPr>
        <w:keepNext/>
        <w:keepLines/>
        <w:spacing w:before="300" w:after="300" w:line="280" w:lineRule="exact"/>
        <w:outlineLvl w:val="3"/>
        <w:rPr>
          <w:rFonts w:ascii="宋体" w:eastAsia="宋体" w:hAnsi="宋体" w:cs="宋体"/>
          <w:b/>
          <w:bCs/>
          <w:szCs w:val="21"/>
        </w:rPr>
      </w:pPr>
      <w:bookmarkStart w:id="166" w:name="_Toc989057"/>
      <w:r>
        <w:rPr>
          <w:rFonts w:ascii="宋体" w:eastAsia="宋体" w:hAnsi="宋体" w:cs="宋体"/>
          <w:b/>
          <w:bCs/>
          <w:szCs w:val="21"/>
        </w:rPr>
        <w:t>（2） 其他应收款</w:t>
      </w:r>
      <w:bookmarkEnd w:id="166"/>
    </w:p>
    <w:p w:rsidR="00F068AD" w:rsidRDefault="00CB63CD">
      <w:pPr>
        <w:keepNext/>
        <w:keepLines/>
        <w:spacing w:before="300" w:after="300" w:line="280" w:lineRule="exact"/>
        <w:outlineLvl w:val="4"/>
        <w:rPr>
          <w:rFonts w:ascii="宋体" w:eastAsia="宋体" w:hAnsi="宋体" w:cs="宋体"/>
          <w:b/>
          <w:bCs/>
          <w:szCs w:val="21"/>
        </w:rPr>
      </w:pPr>
      <w:bookmarkStart w:id="167" w:name="_Toc989058"/>
      <w:r>
        <w:rPr>
          <w:rFonts w:ascii="宋体" w:eastAsia="宋体" w:hAnsi="宋体" w:cs="宋体"/>
          <w:b/>
          <w:bCs/>
          <w:szCs w:val="21"/>
        </w:rPr>
        <w:t>1） 其他应收款按款项性质分类情况</w:t>
      </w:r>
      <w:bookmarkEnd w:id="167"/>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备用金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140,000.00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55,270.00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保证金、押金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1,285,800.00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1,518,304.52</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往来款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37,106,165.22</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37,054,666.21</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38,531,965.22</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38,628,240.73</w:t>
            </w:r>
          </w:p>
        </w:tc>
      </w:tr>
    </w:tbl>
    <w:p w:rsidR="00F068AD" w:rsidRDefault="00CB63CD">
      <w:pPr>
        <w:keepNext/>
        <w:keepLines/>
        <w:spacing w:before="300" w:after="300" w:line="280" w:lineRule="exact"/>
        <w:outlineLvl w:val="4"/>
        <w:rPr>
          <w:rFonts w:ascii="宋体" w:eastAsia="宋体" w:hAnsi="宋体" w:cs="宋体"/>
          <w:b/>
          <w:bCs/>
          <w:szCs w:val="21"/>
        </w:rPr>
      </w:pPr>
      <w:bookmarkStart w:id="168" w:name="_Toc989059"/>
      <w:r>
        <w:rPr>
          <w:rFonts w:ascii="宋体" w:eastAsia="宋体" w:hAnsi="宋体" w:cs="宋体"/>
          <w:b/>
          <w:bCs/>
          <w:szCs w:val="21"/>
        </w:rPr>
        <w:t>2） 坏账准备计提情况</w:t>
      </w:r>
      <w:bookmarkEnd w:id="168"/>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F068AD">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第一阶段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第二阶段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第三阶段</w:t>
            </w:r>
          </w:p>
        </w:tc>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F068AD">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未来12个月预期信用损失</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整个存续期预期信用损失(未发生信用减值)</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整个存续期预期信用损失(已发生信用减值)</w:t>
            </w:r>
          </w:p>
        </w:tc>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2022年1月1日余额</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1,993,396.34</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37,514,433.04</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2022年1月1日余额在本期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本期计提</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37,726.22</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37,726.22</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2022年6月30日余额</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2,031,122.56</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37,552,159.26</w:t>
            </w:r>
          </w:p>
        </w:tc>
      </w:tr>
    </w:tbl>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损失准备本期变动金额重大的账面余额变动情况</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按账龄披露</w:t>
      </w:r>
    </w:p>
    <w:p w:rsidR="00F068AD" w:rsidRDefault="00CB63C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725,353.64</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1年以内</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725,353.64</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50,800.00</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35,871,036.70</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1,884,774.88</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3至4年</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4至5年</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5年以上</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1,884,774.88</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38,531,965.22</w:t>
            </w:r>
          </w:p>
        </w:tc>
      </w:tr>
    </w:tbl>
    <w:p w:rsidR="00F068AD" w:rsidRDefault="00CB63CD">
      <w:pPr>
        <w:keepNext/>
        <w:keepLines/>
        <w:spacing w:before="300" w:after="300" w:line="280" w:lineRule="exact"/>
        <w:outlineLvl w:val="4"/>
        <w:rPr>
          <w:rFonts w:ascii="宋体" w:eastAsia="宋体" w:hAnsi="宋体" w:cs="宋体"/>
          <w:b/>
          <w:bCs/>
          <w:szCs w:val="21"/>
        </w:rPr>
      </w:pPr>
      <w:bookmarkStart w:id="169" w:name="_Toc989060"/>
      <w:r>
        <w:rPr>
          <w:rFonts w:ascii="宋体" w:eastAsia="宋体" w:hAnsi="宋体" w:cs="宋体"/>
          <w:b/>
          <w:bCs/>
          <w:szCs w:val="21"/>
        </w:rPr>
        <w:t>3） 本期计提、收回或转回的坏账准备情况</w:t>
      </w:r>
      <w:bookmarkEnd w:id="169"/>
    </w:p>
    <w:p w:rsidR="00F068AD" w:rsidRDefault="00CB63CD">
      <w:pPr>
        <w:spacing w:line="240" w:lineRule="exact"/>
        <w:rPr>
          <w:rFonts w:ascii="宋体" w:eastAsia="宋体" w:hAnsi="宋体" w:cs="宋体"/>
          <w:sz w:val="18"/>
          <w:szCs w:val="18"/>
        </w:rPr>
      </w:pPr>
      <w:r>
        <w:rPr>
          <w:rFonts w:ascii="宋体" w:eastAsia="宋体" w:hAnsi="宋体" w:cs="宋体"/>
          <w:sz w:val="18"/>
          <w:szCs w:val="18"/>
        </w:rPr>
        <w:t>本期计提坏账准备情况：</w:t>
      </w:r>
    </w:p>
    <w:p w:rsidR="00F068AD" w:rsidRDefault="00CB63C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F068AD">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068AD">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37,514,433.04</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37,726.22</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37,552,159.26</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37,514,433.04</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37,726.22</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37,552,159.26</w:t>
            </w:r>
          </w:p>
        </w:tc>
      </w:tr>
    </w:tbl>
    <w:p w:rsidR="00F068AD" w:rsidRDefault="00CB63CD">
      <w:pPr>
        <w:keepNext/>
        <w:keepLines/>
        <w:spacing w:before="300" w:after="300" w:line="280" w:lineRule="exact"/>
        <w:outlineLvl w:val="4"/>
        <w:rPr>
          <w:rFonts w:ascii="宋体" w:eastAsia="宋体" w:hAnsi="宋体" w:cs="宋体"/>
          <w:b/>
          <w:bCs/>
          <w:szCs w:val="21"/>
        </w:rPr>
      </w:pPr>
      <w:bookmarkStart w:id="170" w:name="_Toc989061"/>
      <w:r>
        <w:rPr>
          <w:rFonts w:ascii="宋体" w:eastAsia="宋体" w:hAnsi="宋体" w:cs="宋体"/>
          <w:b/>
          <w:bCs/>
          <w:szCs w:val="21"/>
        </w:rPr>
        <w:t>4） 本期实际核销的其他应收款情况</w:t>
      </w:r>
      <w:bookmarkEnd w:id="170"/>
    </w:p>
    <w:p w:rsidR="00CB63CD" w:rsidRDefault="00CB63CD">
      <w:pPr>
        <w:pStyle w:val="a3"/>
        <w:divId w:val="501706154"/>
        <w:rPr>
          <w:sz w:val="18"/>
          <w:szCs w:val="18"/>
        </w:rPr>
      </w:pPr>
      <w:r>
        <w:rPr>
          <w:rFonts w:hint="eastAsia"/>
          <w:sz w:val="18"/>
          <w:szCs w:val="18"/>
        </w:rPr>
        <w:t>本期无实际核销的其他应收款。</w:t>
      </w:r>
    </w:p>
    <w:p w:rsidR="00F068AD" w:rsidRDefault="00CB63CD">
      <w:pPr>
        <w:keepNext/>
        <w:keepLines/>
        <w:spacing w:before="300" w:after="300" w:line="280" w:lineRule="exact"/>
        <w:outlineLvl w:val="4"/>
        <w:rPr>
          <w:rFonts w:ascii="宋体" w:eastAsia="宋体" w:hAnsi="宋体" w:cs="宋体"/>
          <w:b/>
          <w:bCs/>
          <w:szCs w:val="21"/>
        </w:rPr>
      </w:pPr>
      <w:bookmarkStart w:id="171" w:name="_Toc989062"/>
      <w:r>
        <w:rPr>
          <w:rFonts w:ascii="宋体" w:eastAsia="宋体" w:hAnsi="宋体" w:cs="宋体"/>
          <w:b/>
          <w:bCs/>
          <w:szCs w:val="21"/>
        </w:rPr>
        <w:t>5） 按欠款方归集的期末余额前五名的其他应收款情况</w:t>
      </w:r>
      <w:bookmarkEnd w:id="171"/>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占其他应收款期末余额合计数的比例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其他应收单位1</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2-3年</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92.19%</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35,521,036.70</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其他应收单位2</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993,744.71</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5年以上</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2.58%</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993,744.71</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其他应收单位3</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保证金</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900,000.00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1年以内、2-3年</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2.33%</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120,000.00</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其他应收单位4</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保证金</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300,000.00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5年以上</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0.78%</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300,000.00</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其他应收单位5</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267,504.52</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5年以上</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0.69%</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267,504.52</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37,982,285.93</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98.57%</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37,202,285.93</w:t>
            </w:r>
          </w:p>
        </w:tc>
      </w:tr>
    </w:tbl>
    <w:p w:rsidR="00F068AD" w:rsidRDefault="00CB63CD">
      <w:pPr>
        <w:pStyle w:val="3"/>
        <w:spacing w:line="280" w:lineRule="exact"/>
        <w:jc w:val="left"/>
        <w:rPr>
          <w:rFonts w:ascii="宋体" w:hAnsi="宋体" w:cs="宋体"/>
          <w:b/>
          <w:bCs/>
        </w:rPr>
      </w:pPr>
      <w:bookmarkStart w:id="172" w:name="_Toc989063"/>
      <w:r>
        <w:rPr>
          <w:rFonts w:ascii="宋体" w:hAnsi="宋体" w:cs="宋体"/>
          <w:b/>
          <w:bCs/>
        </w:rPr>
        <w:t>7、存货</w:t>
      </w:r>
      <w:bookmarkEnd w:id="172"/>
    </w:p>
    <w:p w:rsidR="00F068AD" w:rsidRDefault="00CB63CD">
      <w:pPr>
        <w:spacing w:line="240" w:lineRule="exact"/>
        <w:rPr>
          <w:rFonts w:ascii="宋体" w:eastAsia="宋体" w:hAnsi="宋体" w:cs="宋体"/>
          <w:sz w:val="18"/>
          <w:szCs w:val="18"/>
        </w:rPr>
      </w:pPr>
      <w:r>
        <w:rPr>
          <w:rFonts w:ascii="宋体" w:eastAsia="宋体" w:hAnsi="宋体" w:cs="宋体"/>
          <w:sz w:val="18"/>
          <w:szCs w:val="18"/>
        </w:rPr>
        <w:t>公司是否需要遵守房地产行业的披露要求</w:t>
      </w:r>
    </w:p>
    <w:p w:rsidR="00F068AD" w:rsidRDefault="00CB63CD">
      <w:pPr>
        <w:spacing w:line="240" w:lineRule="exact"/>
        <w:rPr>
          <w:rFonts w:ascii="宋体" w:eastAsia="宋体" w:hAnsi="宋体" w:cs="宋体"/>
          <w:sz w:val="18"/>
          <w:szCs w:val="18"/>
        </w:rPr>
      </w:pPr>
      <w:r>
        <w:rPr>
          <w:rFonts w:ascii="宋体" w:eastAsia="宋体" w:hAnsi="宋体" w:cs="宋体"/>
          <w:sz w:val="18"/>
          <w:szCs w:val="18"/>
        </w:rPr>
        <w:t>否</w:t>
      </w:r>
    </w:p>
    <w:p w:rsidR="00F068AD" w:rsidRDefault="00CB63CD">
      <w:pPr>
        <w:keepNext/>
        <w:keepLines/>
        <w:spacing w:before="300" w:after="300" w:line="280" w:lineRule="exact"/>
        <w:outlineLvl w:val="3"/>
        <w:rPr>
          <w:rFonts w:ascii="宋体" w:eastAsia="宋体" w:hAnsi="宋体" w:cs="宋体"/>
          <w:b/>
          <w:bCs/>
          <w:szCs w:val="21"/>
        </w:rPr>
      </w:pPr>
      <w:bookmarkStart w:id="173" w:name="_Toc989064"/>
      <w:r>
        <w:rPr>
          <w:rFonts w:ascii="宋体" w:eastAsia="宋体" w:hAnsi="宋体" w:cs="宋体"/>
          <w:b/>
          <w:bCs/>
          <w:szCs w:val="21"/>
        </w:rPr>
        <w:lastRenderedPageBreak/>
        <w:t>（1） 存货分类</w:t>
      </w:r>
      <w:bookmarkEnd w:id="173"/>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F068AD">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068AD">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存货跌价准备或合同履约成本减值准备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存货跌价准备或合同履约成本减值准备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原材料</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59,020,434.50</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472.19</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59,019,962.31</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136,644,744.95</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16,289.47</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136,628,455.48</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库存商品</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71,793,014.04</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191,424.40</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71,601,589.64</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91,423,059.48</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118,013.48</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91,305,046.00</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130,813,448.54</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191,896.59</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130,621,551.95</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228,067,804.43</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134,302.95</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227,933,501.48</w:t>
            </w:r>
          </w:p>
        </w:tc>
      </w:tr>
    </w:tbl>
    <w:p w:rsidR="00F068AD" w:rsidRDefault="00CB63CD">
      <w:pPr>
        <w:keepNext/>
        <w:keepLines/>
        <w:spacing w:before="300" w:after="300" w:line="280" w:lineRule="exact"/>
        <w:outlineLvl w:val="3"/>
        <w:rPr>
          <w:rFonts w:ascii="宋体" w:eastAsia="宋体" w:hAnsi="宋体" w:cs="宋体"/>
          <w:b/>
          <w:bCs/>
          <w:szCs w:val="21"/>
        </w:rPr>
      </w:pPr>
      <w:bookmarkStart w:id="174" w:name="_Toc989065"/>
      <w:r>
        <w:rPr>
          <w:rFonts w:ascii="宋体" w:eastAsia="宋体" w:hAnsi="宋体" w:cs="宋体"/>
          <w:b/>
          <w:bCs/>
          <w:szCs w:val="21"/>
        </w:rPr>
        <w:t>（2） 存货跌价准备和合同履约成本减值准备</w:t>
      </w:r>
      <w:bookmarkEnd w:id="174"/>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F068AD">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本期增加金额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068AD">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转回或转销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原材料</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16,289.47</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-15,817.28</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472.19</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库存商品</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118,013.48</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73,410.92</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191,424.40</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134,302.95</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57,593.64</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191,896.59</w:t>
            </w:r>
          </w:p>
        </w:tc>
      </w:tr>
    </w:tbl>
    <w:p w:rsidR="00F068AD" w:rsidRDefault="00F068AD">
      <w:pPr>
        <w:spacing w:before="60" w:after="60" w:line="0" w:lineRule="atLeast"/>
      </w:pPr>
    </w:p>
    <w:p w:rsidR="00CB63CD" w:rsidRDefault="00CB63CD">
      <w:pPr>
        <w:pStyle w:val="a3"/>
        <w:spacing w:before="0" w:beforeAutospacing="0" w:after="0" w:afterAutospacing="0" w:line="360" w:lineRule="auto"/>
        <w:ind w:firstLine="360"/>
        <w:jc w:val="both"/>
        <w:divId w:val="1010570250"/>
        <w:rPr>
          <w:rFonts w:ascii="Times New Roman" w:hAnsi="Times New Roman" w:cs="Times New Roman"/>
          <w:sz w:val="21"/>
          <w:szCs w:val="21"/>
        </w:rPr>
      </w:pPr>
      <w:r>
        <w:rPr>
          <w:rFonts w:cs="Times New Roman" w:hint="eastAsia"/>
          <w:sz w:val="18"/>
          <w:szCs w:val="18"/>
        </w:rPr>
        <w:t>公司计提存货跌价准备的依据为：期末，按存货成本高于其可变现净值的差额计提存货跌价准备。通常按单个存货项目计提跌价准备，对于数量繁多、单价较低的存货，按存货类别计提跌价准备。可变现净值，是指在日常活动中，存货的估计售价减去至完工时估计将要发生的成本、估计的销售费用以及相关税费后的金额。</w:t>
      </w:r>
    </w:p>
    <w:p w:rsidR="00F068AD" w:rsidRDefault="00CB63CD">
      <w:pPr>
        <w:pStyle w:val="3"/>
        <w:spacing w:line="280" w:lineRule="exact"/>
        <w:jc w:val="left"/>
        <w:rPr>
          <w:rFonts w:ascii="宋体" w:hAnsi="宋体" w:cs="宋体"/>
          <w:b/>
          <w:bCs/>
        </w:rPr>
      </w:pPr>
      <w:bookmarkStart w:id="175" w:name="_Toc989066"/>
      <w:r>
        <w:rPr>
          <w:rFonts w:ascii="宋体" w:hAnsi="宋体" w:cs="宋体"/>
          <w:b/>
          <w:bCs/>
        </w:rPr>
        <w:t>8、其他流动资产</w:t>
      </w:r>
      <w:bookmarkEnd w:id="175"/>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增值税留抵税额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7,263,374.33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16,235,685.15</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7,263,374.33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16,235,685.15</w:t>
            </w:r>
          </w:p>
        </w:tc>
      </w:tr>
    </w:tbl>
    <w:p w:rsidR="00F068AD" w:rsidRDefault="00CB63CD">
      <w:pPr>
        <w:pStyle w:val="3"/>
        <w:spacing w:line="280" w:lineRule="exact"/>
        <w:jc w:val="left"/>
        <w:rPr>
          <w:rFonts w:ascii="宋体" w:hAnsi="宋体" w:cs="宋体"/>
          <w:b/>
          <w:bCs/>
        </w:rPr>
      </w:pPr>
      <w:bookmarkStart w:id="176" w:name="_Toc989067"/>
      <w:r>
        <w:rPr>
          <w:rFonts w:ascii="宋体" w:hAnsi="宋体" w:cs="宋体"/>
          <w:b/>
          <w:bCs/>
        </w:rPr>
        <w:t>9、长期股权投资</w:t>
      </w:r>
      <w:bookmarkEnd w:id="176"/>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03"/>
        <w:gridCol w:w="803"/>
        <w:gridCol w:w="803"/>
        <w:gridCol w:w="803"/>
        <w:gridCol w:w="803"/>
        <w:gridCol w:w="803"/>
        <w:gridCol w:w="803"/>
        <w:gridCol w:w="803"/>
        <w:gridCol w:w="803"/>
        <w:gridCol w:w="805"/>
        <w:gridCol w:w="803"/>
        <w:gridCol w:w="804"/>
      </w:tblGrid>
      <w:tr w:rsidR="00F068AD">
        <w:trPr>
          <w:trHeight w:val="240"/>
        </w:trPr>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期初余额（账面价值）</w:t>
            </w:r>
          </w:p>
        </w:tc>
        <w:tc>
          <w:tcPr>
            <w:tcW w:w="6426"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本期增减变动</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期末余额（账面价值）</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减值准备期末余额</w:t>
            </w:r>
          </w:p>
        </w:tc>
      </w:tr>
      <w:tr w:rsidR="00F068AD">
        <w:trPr>
          <w:trHeight w:val="240"/>
        </w:trPr>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追加投资</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减少投资</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权益法下确认的投资损益</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其他综合收益调整</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其他权益变动</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宣告发放现金股利或利润</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计提减值准备</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96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一、合营企业</w:t>
            </w:r>
          </w:p>
        </w:tc>
      </w:tr>
      <w:tr w:rsidR="00F068AD">
        <w:trPr>
          <w:trHeight w:val="240"/>
        </w:trPr>
        <w:tc>
          <w:tcPr>
            <w:tcW w:w="96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二、联营企业</w:t>
            </w:r>
          </w:p>
        </w:tc>
      </w:tr>
      <w:tr w:rsidR="00F068AD">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一村资本有限</w:t>
            </w:r>
            <w:r>
              <w:rPr>
                <w:rFonts w:ascii="宋体" w:eastAsia="宋体" w:hAnsi="宋体" w:cs="宋体"/>
                <w:sz w:val="18"/>
                <w:szCs w:val="18"/>
              </w:rPr>
              <w:lastRenderedPageBreak/>
              <w:t>公司</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lastRenderedPageBreak/>
              <w:t>1,307,403,76</w:t>
            </w:r>
            <w:r>
              <w:rPr>
                <w:rFonts w:ascii="宋体" w:eastAsia="宋体" w:hAnsi="宋体" w:cs="宋体"/>
                <w:sz w:val="18"/>
                <w:szCs w:val="18"/>
              </w:rPr>
              <w:lastRenderedPageBreak/>
              <w:t>6.83</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31,308,448.2</w:t>
            </w:r>
            <w:r>
              <w:rPr>
                <w:rFonts w:ascii="宋体" w:eastAsia="宋体" w:hAnsi="宋体" w:cs="宋体"/>
                <w:sz w:val="18"/>
                <w:szCs w:val="18"/>
              </w:rPr>
              <w:lastRenderedPageBreak/>
              <w:t>4</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40,924,157.6</w:t>
            </w:r>
            <w:r>
              <w:rPr>
                <w:rFonts w:ascii="宋体" w:eastAsia="宋体" w:hAnsi="宋体" w:cs="宋体"/>
                <w:sz w:val="18"/>
                <w:szCs w:val="18"/>
              </w:rPr>
              <w:lastRenderedPageBreak/>
              <w:t>2</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1,297,788,05</w:t>
            </w:r>
            <w:r>
              <w:rPr>
                <w:rFonts w:ascii="宋体" w:eastAsia="宋体" w:hAnsi="宋体" w:cs="宋体"/>
                <w:sz w:val="18"/>
                <w:szCs w:val="18"/>
              </w:rPr>
              <w:lastRenderedPageBreak/>
              <w:t>7.45</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lastRenderedPageBreak/>
              <w:t>云南屏边华西村矿业有限公司</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18,690,464.00</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-8,860.30</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18,681,603.70</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5,565,691.70</w:t>
            </w:r>
          </w:p>
        </w:tc>
      </w:tr>
      <w:tr w:rsidR="00F068AD">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联储证券有限责任公司</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1,252,420,400.00</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-10,452,967.60</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1,394,308.52</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-234,596.91</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1,243,127,144.01</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33,306,473.15</w:t>
            </w:r>
          </w:p>
        </w:tc>
      </w:tr>
      <w:tr w:rsidR="00F068AD">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江阴华西船务有限公司</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5,408,768.04</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320,137.24</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1,036,800.00</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4,692,105.28</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VENUS PEARL SPV2 CO LIMITED</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957,486,177.56</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14,934,343.58</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6,866,102.72</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4,913,743.29</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984,200,367.15</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小计</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3,541,409,576.43</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36,101,101.16</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8,260,411.24</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4,679,146.38</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41,960,957.62</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3,548,489,277.59</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38,872,164.85</w:t>
            </w:r>
          </w:p>
        </w:tc>
      </w:tr>
      <w:tr w:rsidR="00F068AD">
        <w:trPr>
          <w:trHeight w:val="240"/>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3,541,409,576.43</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36,101,101.16</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8,260,411.24</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4,679,146.38</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41,960,957.62</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3,548,489,277.59</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38,872,164.85</w:t>
            </w:r>
          </w:p>
        </w:tc>
      </w:tr>
    </w:tbl>
    <w:p w:rsidR="00F068AD" w:rsidRDefault="00CB63CD">
      <w:pPr>
        <w:pStyle w:val="3"/>
        <w:spacing w:line="280" w:lineRule="exact"/>
        <w:jc w:val="left"/>
        <w:rPr>
          <w:rFonts w:ascii="宋体" w:hAnsi="宋体" w:cs="宋体"/>
          <w:b/>
          <w:bCs/>
        </w:rPr>
      </w:pPr>
      <w:bookmarkStart w:id="177" w:name="_Toc989068"/>
      <w:r>
        <w:rPr>
          <w:rFonts w:ascii="宋体" w:hAnsi="宋体" w:cs="宋体"/>
          <w:b/>
          <w:bCs/>
        </w:rPr>
        <w:t>10、其他非流动金融资产</w:t>
      </w:r>
      <w:bookmarkEnd w:id="177"/>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以公允价值计量且其变动计入当期损益的金融资产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708,302,746.75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708,302,746.75</w:t>
            </w:r>
          </w:p>
        </w:tc>
      </w:tr>
      <w:tr w:rsidR="00E6733F">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E6733F" w:rsidRDefault="00E6733F">
            <w:pPr>
              <w:spacing w:line="240" w:lineRule="exact"/>
              <w:rPr>
                <w:rFonts w:ascii="宋体" w:eastAsia="宋体" w:hAnsi="宋体" w:cs="宋体"/>
                <w:sz w:val="18"/>
                <w:szCs w:val="18"/>
              </w:rPr>
            </w:pPr>
            <w:r>
              <w:rPr>
                <w:rFonts w:ascii="宋体" w:eastAsia="宋体" w:hAnsi="宋体" w:cs="宋体"/>
                <w:sz w:val="18"/>
                <w:szCs w:val="18"/>
              </w:rPr>
              <w:t>其中：权益工具投资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E6733F" w:rsidRDefault="00E6733F" w:rsidP="0002119E">
            <w:pPr>
              <w:spacing w:line="240" w:lineRule="exact"/>
              <w:jc w:val="right"/>
              <w:rPr>
                <w:rFonts w:ascii="宋体" w:eastAsia="宋体" w:hAnsi="宋体" w:cs="宋体"/>
                <w:sz w:val="18"/>
                <w:szCs w:val="18"/>
              </w:rPr>
            </w:pPr>
            <w:r>
              <w:rPr>
                <w:rFonts w:ascii="宋体" w:eastAsia="宋体" w:hAnsi="宋体" w:cs="宋体"/>
                <w:sz w:val="18"/>
                <w:szCs w:val="18"/>
              </w:rPr>
              <w:t>708,302,746.75</w:t>
            </w:r>
          </w:p>
        </w:tc>
        <w:tc>
          <w:tcPr>
            <w:tcW w:w="3213" w:type="dxa"/>
            <w:tcBorders>
              <w:top w:val="single" w:sz="2" w:space="0" w:color="auto"/>
              <w:left w:val="single" w:sz="2" w:space="0" w:color="auto"/>
              <w:bottom w:val="single" w:sz="2" w:space="0" w:color="auto"/>
              <w:right w:val="single" w:sz="2" w:space="0" w:color="auto"/>
            </w:tcBorders>
            <w:vAlign w:val="center"/>
          </w:tcPr>
          <w:p w:rsidR="00E6733F" w:rsidRDefault="00E6733F" w:rsidP="0002119E">
            <w:pPr>
              <w:spacing w:line="240" w:lineRule="exact"/>
              <w:jc w:val="right"/>
              <w:rPr>
                <w:rFonts w:ascii="宋体" w:eastAsia="宋体" w:hAnsi="宋体" w:cs="宋体"/>
                <w:sz w:val="18"/>
                <w:szCs w:val="18"/>
              </w:rPr>
            </w:pPr>
            <w:r>
              <w:rPr>
                <w:rFonts w:ascii="宋体" w:eastAsia="宋体" w:hAnsi="宋体" w:cs="宋体"/>
                <w:sz w:val="18"/>
                <w:szCs w:val="18"/>
              </w:rPr>
              <w:t>708,302,746.75</w:t>
            </w:r>
          </w:p>
        </w:tc>
      </w:tr>
      <w:tr w:rsidR="00E6733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E6733F" w:rsidRDefault="00E6733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E6733F" w:rsidRDefault="00E6733F">
            <w:pPr>
              <w:spacing w:line="240" w:lineRule="exact"/>
              <w:jc w:val="right"/>
              <w:rPr>
                <w:rFonts w:ascii="宋体" w:eastAsia="宋体" w:hAnsi="宋体" w:cs="宋体"/>
                <w:sz w:val="18"/>
                <w:szCs w:val="18"/>
              </w:rPr>
            </w:pPr>
            <w:r>
              <w:rPr>
                <w:rFonts w:ascii="宋体" w:eastAsia="宋体" w:hAnsi="宋体" w:cs="宋体"/>
                <w:sz w:val="18"/>
                <w:szCs w:val="18"/>
              </w:rPr>
              <w:t>708,302,746.75</w:t>
            </w:r>
          </w:p>
        </w:tc>
        <w:tc>
          <w:tcPr>
            <w:tcW w:w="3213" w:type="dxa"/>
            <w:tcBorders>
              <w:top w:val="single" w:sz="2" w:space="0" w:color="auto"/>
              <w:left w:val="single" w:sz="2" w:space="0" w:color="auto"/>
              <w:bottom w:val="single" w:sz="2" w:space="0" w:color="auto"/>
              <w:right w:val="single" w:sz="2" w:space="0" w:color="auto"/>
            </w:tcBorders>
            <w:vAlign w:val="center"/>
          </w:tcPr>
          <w:p w:rsidR="00E6733F" w:rsidRDefault="00E6733F">
            <w:pPr>
              <w:spacing w:line="240" w:lineRule="exact"/>
              <w:jc w:val="right"/>
              <w:rPr>
                <w:rFonts w:ascii="宋体" w:eastAsia="宋体" w:hAnsi="宋体" w:cs="宋体"/>
                <w:sz w:val="18"/>
                <w:szCs w:val="18"/>
              </w:rPr>
            </w:pPr>
            <w:r>
              <w:rPr>
                <w:rFonts w:ascii="宋体" w:eastAsia="宋体" w:hAnsi="宋体" w:cs="宋体"/>
                <w:sz w:val="18"/>
                <w:szCs w:val="18"/>
              </w:rPr>
              <w:t>708,302,746.75</w:t>
            </w:r>
          </w:p>
        </w:tc>
      </w:tr>
    </w:tbl>
    <w:p w:rsidR="00F068AD" w:rsidRDefault="00CB63CD">
      <w:pPr>
        <w:pStyle w:val="3"/>
        <w:spacing w:line="280" w:lineRule="exact"/>
        <w:jc w:val="left"/>
        <w:rPr>
          <w:rFonts w:ascii="宋体" w:hAnsi="宋体" w:cs="宋体"/>
          <w:b/>
          <w:bCs/>
        </w:rPr>
      </w:pPr>
      <w:bookmarkStart w:id="178" w:name="_Toc989069"/>
      <w:r>
        <w:rPr>
          <w:rFonts w:ascii="宋体" w:hAnsi="宋体" w:cs="宋体"/>
          <w:b/>
          <w:bCs/>
        </w:rPr>
        <w:t>11、固定资产</w:t>
      </w:r>
      <w:bookmarkEnd w:id="178"/>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404,587,735.07</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422,883,986.83</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404,587,735.07</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422,883,986.83</w:t>
            </w:r>
          </w:p>
        </w:tc>
      </w:tr>
    </w:tbl>
    <w:p w:rsidR="00F068AD" w:rsidRDefault="00CB63CD">
      <w:pPr>
        <w:keepNext/>
        <w:keepLines/>
        <w:spacing w:before="300" w:after="300" w:line="280" w:lineRule="exact"/>
        <w:outlineLvl w:val="3"/>
        <w:rPr>
          <w:rFonts w:ascii="宋体" w:eastAsia="宋体" w:hAnsi="宋体" w:cs="宋体"/>
          <w:b/>
          <w:bCs/>
          <w:szCs w:val="21"/>
        </w:rPr>
      </w:pPr>
      <w:bookmarkStart w:id="179" w:name="_Toc989070"/>
      <w:r>
        <w:rPr>
          <w:rFonts w:ascii="宋体" w:eastAsia="宋体" w:hAnsi="宋体" w:cs="宋体"/>
          <w:b/>
          <w:bCs/>
          <w:szCs w:val="21"/>
        </w:rPr>
        <w:t>（1） 固定资产情况</w:t>
      </w:r>
      <w:bookmarkEnd w:id="179"/>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center"/>
              <w:rPr>
                <w:rFonts w:ascii="宋体" w:eastAsia="宋体" w:hAnsi="宋体" w:cs="宋体"/>
                <w:sz w:val="18"/>
                <w:szCs w:val="18"/>
              </w:rPr>
            </w:pPr>
            <w:r>
              <w:rPr>
                <w:rFonts w:ascii="宋体" w:eastAsia="宋体" w:hAnsi="宋体" w:cs="宋体"/>
                <w:sz w:val="18"/>
                <w:szCs w:val="18"/>
              </w:rPr>
              <w:t>房屋及建筑物</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center"/>
              <w:rPr>
                <w:rFonts w:ascii="宋体" w:eastAsia="宋体" w:hAnsi="宋体" w:cs="宋体"/>
                <w:sz w:val="18"/>
                <w:szCs w:val="18"/>
              </w:rPr>
            </w:pPr>
            <w:r>
              <w:rPr>
                <w:rFonts w:ascii="宋体" w:eastAsia="宋体" w:hAnsi="宋体" w:cs="宋体"/>
                <w:sz w:val="18"/>
                <w:szCs w:val="18"/>
              </w:rPr>
              <w:t>机器设备</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center"/>
              <w:rPr>
                <w:rFonts w:ascii="宋体" w:eastAsia="宋体" w:hAnsi="宋体" w:cs="宋体"/>
                <w:sz w:val="18"/>
                <w:szCs w:val="18"/>
              </w:rPr>
            </w:pPr>
            <w:r>
              <w:rPr>
                <w:rFonts w:ascii="宋体" w:eastAsia="宋体" w:hAnsi="宋体" w:cs="宋体"/>
                <w:sz w:val="18"/>
                <w:szCs w:val="18"/>
              </w:rPr>
              <w:t>运输设备</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center"/>
              <w:rPr>
                <w:rFonts w:ascii="宋体" w:eastAsia="宋体" w:hAnsi="宋体" w:cs="宋体"/>
                <w:sz w:val="18"/>
                <w:szCs w:val="18"/>
              </w:rPr>
            </w:pPr>
            <w:r>
              <w:rPr>
                <w:rFonts w:ascii="宋体" w:eastAsia="宋体" w:hAnsi="宋体" w:cs="宋体"/>
                <w:sz w:val="18"/>
                <w:szCs w:val="18"/>
              </w:rPr>
              <w:t>其他设备</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一、账面原值：</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357,947,296.84</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1,192,347,774.78</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3,929,145.12</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24,336,491.41</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1,578,560,708.15</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3,597,075.14</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3,597,075.14</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lastRenderedPageBreak/>
              <w:t>（1）购置</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470,160.66</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470,160.66</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（2）在建工程转入</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3,126,914.48</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3,126,914.48</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（3）企业合并增加</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240,000.00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240,000.00</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（1）处置或报废</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240,000.00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240,000.00</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357,947,296.84</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1,195,704,849.92</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3,929,145.12</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24,336,491.41</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1,581,917,783.29</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二、累计折旧</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152,321,335.61</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970,510,062.50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1,060,824.61</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21,459,067.07</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1,145,351,289.79</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6,154,924.32</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14,582,098.13</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373,268.79</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759,035.66</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21,869,326.90</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6,154,924.32</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14,582,098.13</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373,268.79</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759,035.66</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21,869,326.90</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216,000.00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216,000.00</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（1）处置或报废</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216,000.00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216,000.00</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158,476,259.93</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984,876,160.63</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1,434,093.40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22,218,102.73</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1,167,004,616.69</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三、减值准备</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10,325,431.53</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10,325,431.53</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（1）处置或报废</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10,325,431.53</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10,325,431.53</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四、账面价值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1.期末账面价值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199,471,036.91</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200,503,257.76</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2,495,051.72</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2,118,388.68</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404,587,735.07</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2.期初账面价值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205,625,961.23</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211,512,280.75</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2,868,320.51</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2,877,424.34</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422,883,986.83</w:t>
            </w:r>
          </w:p>
        </w:tc>
      </w:tr>
    </w:tbl>
    <w:p w:rsidR="00F068AD" w:rsidRDefault="00CB63CD">
      <w:pPr>
        <w:pStyle w:val="3"/>
        <w:spacing w:line="280" w:lineRule="exact"/>
        <w:jc w:val="left"/>
        <w:rPr>
          <w:rFonts w:ascii="宋体" w:hAnsi="宋体" w:cs="宋体"/>
          <w:b/>
          <w:bCs/>
        </w:rPr>
      </w:pPr>
      <w:bookmarkStart w:id="180" w:name="_Toc989071"/>
      <w:r>
        <w:rPr>
          <w:rFonts w:ascii="宋体" w:hAnsi="宋体" w:cs="宋体"/>
          <w:b/>
          <w:bCs/>
        </w:rPr>
        <w:lastRenderedPageBreak/>
        <w:t>12、在建工程</w:t>
      </w:r>
      <w:bookmarkEnd w:id="180"/>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77,137,658.38</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55,001,809.08</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77,137,658.38</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55,001,809.08</w:t>
            </w:r>
          </w:p>
        </w:tc>
      </w:tr>
    </w:tbl>
    <w:p w:rsidR="00F068AD" w:rsidRDefault="00CB63CD">
      <w:pPr>
        <w:keepNext/>
        <w:keepLines/>
        <w:spacing w:before="300" w:after="300" w:line="280" w:lineRule="exact"/>
        <w:outlineLvl w:val="3"/>
        <w:rPr>
          <w:rFonts w:ascii="宋体" w:eastAsia="宋体" w:hAnsi="宋体" w:cs="宋体"/>
          <w:b/>
          <w:bCs/>
          <w:szCs w:val="21"/>
        </w:rPr>
      </w:pPr>
      <w:bookmarkStart w:id="181" w:name="_Toc989072"/>
      <w:r>
        <w:rPr>
          <w:rFonts w:ascii="宋体" w:eastAsia="宋体" w:hAnsi="宋体" w:cs="宋体"/>
          <w:b/>
          <w:bCs/>
          <w:szCs w:val="21"/>
        </w:rPr>
        <w:t>（1） 在建工程情况</w:t>
      </w:r>
      <w:bookmarkEnd w:id="181"/>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F068AD">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068AD">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聚酯车间改造</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56,778,788.47</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56,778,788.47</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44,802,821.80</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44,802,821.80</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零星工程</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20,358,869.91</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20,358,869.91</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10,198,987.28</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10,198,987.28</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77,137,658.38</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77,137,658.38</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55,001,809.08</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55,001,809.08</w:t>
            </w:r>
          </w:p>
        </w:tc>
      </w:tr>
    </w:tbl>
    <w:p w:rsidR="00F068AD" w:rsidRDefault="00CB63CD">
      <w:pPr>
        <w:keepNext/>
        <w:keepLines/>
        <w:spacing w:before="300" w:after="300" w:line="280" w:lineRule="exact"/>
        <w:outlineLvl w:val="3"/>
        <w:rPr>
          <w:rFonts w:ascii="宋体" w:eastAsia="宋体" w:hAnsi="宋体" w:cs="宋体"/>
          <w:b/>
          <w:bCs/>
          <w:szCs w:val="21"/>
        </w:rPr>
      </w:pPr>
      <w:bookmarkStart w:id="182" w:name="_Toc989073"/>
      <w:r>
        <w:rPr>
          <w:rFonts w:ascii="宋体" w:eastAsia="宋体" w:hAnsi="宋体" w:cs="宋体"/>
          <w:b/>
          <w:bCs/>
          <w:szCs w:val="21"/>
        </w:rPr>
        <w:t>（2） 重要在建工程项目本期变动情况</w:t>
      </w:r>
      <w:bookmarkEnd w:id="182"/>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742"/>
        <w:gridCol w:w="742"/>
        <w:gridCol w:w="742"/>
        <w:gridCol w:w="742"/>
        <w:gridCol w:w="742"/>
        <w:gridCol w:w="742"/>
        <w:gridCol w:w="741"/>
        <w:gridCol w:w="741"/>
        <w:gridCol w:w="741"/>
        <w:gridCol w:w="741"/>
        <w:gridCol w:w="741"/>
        <w:gridCol w:w="741"/>
        <w:gridCol w:w="741"/>
      </w:tblGrid>
      <w:tr w:rsidR="00F068AD">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项目名称</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预算数</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本期转入固定资产金额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本期其他减少金额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工程累计投入占预算比例</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工程进度</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利息资本化累计金额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其中：本期利息资本化金额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本期利息资本化率</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资金来源</w:t>
            </w:r>
          </w:p>
        </w:tc>
      </w:tr>
      <w:tr w:rsidR="00F068AD">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聚酯车间改造</w:t>
            </w: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70,000,000.00</w:t>
            </w: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44,802,821.80</w:t>
            </w: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11,975,966.67</w:t>
            </w: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56,778,788.47</w:t>
            </w: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81.11%</w:t>
            </w: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82%</w:t>
            </w: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w:t>
            </w:r>
          </w:p>
        </w:tc>
      </w:tr>
      <w:tr w:rsidR="00F068AD">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零星工程</w:t>
            </w: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10,198,987.28</w:t>
            </w: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13,286,797.11</w:t>
            </w: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3,126,914.48</w:t>
            </w: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20,358,869.91</w:t>
            </w: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w:t>
            </w:r>
          </w:p>
        </w:tc>
      </w:tr>
      <w:tr w:rsidR="00F068AD">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70,000,000.00</w:t>
            </w: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55,001,809.08</w:t>
            </w: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25,262,763.78</w:t>
            </w: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3,126,914.48</w:t>
            </w: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77,137,658.38</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bl>
    <w:p w:rsidR="00F068AD" w:rsidRDefault="00CB63CD">
      <w:pPr>
        <w:pStyle w:val="3"/>
        <w:spacing w:line="280" w:lineRule="exact"/>
        <w:jc w:val="left"/>
        <w:rPr>
          <w:rFonts w:ascii="宋体" w:hAnsi="宋体" w:cs="宋体"/>
          <w:b/>
          <w:bCs/>
        </w:rPr>
      </w:pPr>
      <w:bookmarkStart w:id="183" w:name="_Toc989074"/>
      <w:r>
        <w:rPr>
          <w:rFonts w:ascii="宋体" w:hAnsi="宋体" w:cs="宋体"/>
          <w:b/>
          <w:bCs/>
        </w:rPr>
        <w:t>13、无形资产</w:t>
      </w:r>
      <w:bookmarkEnd w:id="183"/>
    </w:p>
    <w:p w:rsidR="00F068AD" w:rsidRDefault="00CB63CD">
      <w:pPr>
        <w:keepNext/>
        <w:keepLines/>
        <w:spacing w:before="300" w:after="300" w:line="280" w:lineRule="exact"/>
        <w:outlineLvl w:val="3"/>
        <w:rPr>
          <w:rFonts w:ascii="宋体" w:eastAsia="宋体" w:hAnsi="宋体" w:cs="宋体"/>
          <w:b/>
          <w:bCs/>
          <w:szCs w:val="21"/>
        </w:rPr>
      </w:pPr>
      <w:bookmarkStart w:id="184" w:name="_Toc989075"/>
      <w:r>
        <w:rPr>
          <w:rFonts w:ascii="宋体" w:eastAsia="宋体" w:hAnsi="宋体" w:cs="宋体"/>
          <w:b/>
          <w:bCs/>
          <w:szCs w:val="21"/>
        </w:rPr>
        <w:t>（1） 无形资产情况</w:t>
      </w:r>
      <w:bookmarkEnd w:id="184"/>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土地使用权</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专利权</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非专利技术</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center"/>
              <w:rPr>
                <w:rFonts w:ascii="宋体" w:eastAsia="宋体" w:hAnsi="宋体" w:cs="宋体"/>
                <w:sz w:val="18"/>
                <w:szCs w:val="18"/>
              </w:rPr>
            </w:pPr>
            <w:r>
              <w:rPr>
                <w:rFonts w:ascii="宋体" w:eastAsia="宋体" w:hAnsi="宋体" w:cs="宋体"/>
                <w:sz w:val="18"/>
                <w:szCs w:val="18"/>
              </w:rPr>
              <w:t>计算机软件</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一、账面原值</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29,466,428.32</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1,550,072.57</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31,016,500.89</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（1）购</w:t>
            </w:r>
            <w:r>
              <w:rPr>
                <w:rFonts w:ascii="宋体" w:eastAsia="宋体" w:hAnsi="宋体" w:cs="宋体"/>
                <w:sz w:val="18"/>
                <w:szCs w:val="18"/>
              </w:rPr>
              <w:lastRenderedPageBreak/>
              <w:t>置</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lastRenderedPageBreak/>
              <w:t>0.00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lastRenderedPageBreak/>
              <w:t>（2）内部研发</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（3）企业合并增加</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29,466,428.32</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1,550,072.57</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31,016,500.89</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二、累计摊销</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8,771,278.39</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588,999.57</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9,360,277.96</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312,012.83</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77,784.00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389,796.83</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312,012.83</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77,784.00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389,796.83</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9,083,291.22</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666,783.57</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9,750,074.79</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三、减值准备</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四、账面价值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1.期末账面价值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20,383,137.10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883,289.00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21,266,426.10</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2.期初账面价值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20,695,149.93</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961,073.00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21,656,222.93</w:t>
            </w:r>
          </w:p>
        </w:tc>
      </w:tr>
    </w:tbl>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本期末通过公司内部研发形成的无形资产占无形资产余额的比例0.00%</w:t>
      </w:r>
    </w:p>
    <w:p w:rsidR="00F068AD" w:rsidRDefault="00CB63CD">
      <w:pPr>
        <w:keepNext/>
        <w:keepLines/>
        <w:spacing w:before="300" w:after="300" w:line="280" w:lineRule="exact"/>
        <w:outlineLvl w:val="3"/>
        <w:rPr>
          <w:rFonts w:ascii="宋体" w:eastAsia="宋体" w:hAnsi="宋体" w:cs="宋体"/>
          <w:b/>
          <w:bCs/>
          <w:szCs w:val="21"/>
        </w:rPr>
      </w:pPr>
      <w:bookmarkStart w:id="185" w:name="_Toc989076"/>
      <w:r>
        <w:rPr>
          <w:rFonts w:ascii="宋体" w:eastAsia="宋体" w:hAnsi="宋体" w:cs="宋体"/>
          <w:b/>
          <w:bCs/>
          <w:szCs w:val="21"/>
        </w:rPr>
        <w:t>（2） 未办妥产权证书的土地使用权情况</w:t>
      </w:r>
      <w:bookmarkEnd w:id="185"/>
    </w:p>
    <w:p w:rsidR="00CB63CD" w:rsidRDefault="00CB63CD">
      <w:pPr>
        <w:spacing w:before="100" w:beforeAutospacing="1" w:after="100" w:afterAutospacing="1" w:line="360" w:lineRule="auto"/>
        <w:ind w:firstLine="360"/>
        <w:divId w:val="1911186192"/>
      </w:pPr>
      <w:r>
        <w:rPr>
          <w:rFonts w:hint="eastAsia"/>
          <w:sz w:val="18"/>
          <w:szCs w:val="18"/>
        </w:rPr>
        <w:t>公司无未办妥产权证书的土地使用权情况。</w:t>
      </w:r>
    </w:p>
    <w:p w:rsidR="00F068AD" w:rsidRDefault="00CB63CD">
      <w:pPr>
        <w:pStyle w:val="3"/>
        <w:spacing w:line="280" w:lineRule="exact"/>
        <w:jc w:val="left"/>
        <w:rPr>
          <w:rFonts w:ascii="宋体" w:hAnsi="宋体" w:cs="宋体"/>
          <w:b/>
          <w:bCs/>
        </w:rPr>
      </w:pPr>
      <w:bookmarkStart w:id="186" w:name="_Toc989077"/>
      <w:r>
        <w:rPr>
          <w:rFonts w:ascii="宋体" w:hAnsi="宋体" w:cs="宋体"/>
          <w:b/>
          <w:bCs/>
        </w:rPr>
        <w:lastRenderedPageBreak/>
        <w:t>14、商誉</w:t>
      </w:r>
      <w:bookmarkEnd w:id="186"/>
    </w:p>
    <w:p w:rsidR="00F068AD" w:rsidRDefault="00CB63CD">
      <w:pPr>
        <w:keepNext/>
        <w:keepLines/>
        <w:spacing w:before="300" w:after="300" w:line="280" w:lineRule="exact"/>
        <w:outlineLvl w:val="3"/>
        <w:rPr>
          <w:rFonts w:ascii="宋体" w:eastAsia="宋体" w:hAnsi="宋体" w:cs="宋体"/>
          <w:b/>
          <w:bCs/>
          <w:szCs w:val="21"/>
        </w:rPr>
      </w:pPr>
      <w:bookmarkStart w:id="187" w:name="_Toc989078"/>
      <w:r>
        <w:rPr>
          <w:rFonts w:ascii="宋体" w:eastAsia="宋体" w:hAnsi="宋体" w:cs="宋体"/>
          <w:b/>
          <w:bCs/>
          <w:szCs w:val="21"/>
        </w:rPr>
        <w:t>（1） 商誉账面原值</w:t>
      </w:r>
      <w:bookmarkEnd w:id="187"/>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F068AD">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被投资单位名称或形成商誉的事项</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068AD">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被投资单位名称或形成商誉的事项</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企业合并形成的</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center"/>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处置</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center"/>
              <w:rPr>
                <w:rFonts w:ascii="宋体" w:eastAsia="宋体" w:hAnsi="宋体" w:cs="宋体"/>
                <w:sz w:val="18"/>
                <w:szCs w:val="18"/>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江阴华西化工码头有限公司[注]</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2,064,864.17</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2,064,864.17</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2,064,864.17</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2,064,864.17</w:t>
            </w:r>
          </w:p>
        </w:tc>
      </w:tr>
    </w:tbl>
    <w:p w:rsidR="00E6733F" w:rsidRDefault="00E6733F" w:rsidP="00E6733F">
      <w:pPr>
        <w:spacing w:before="100" w:beforeAutospacing="1" w:after="100" w:afterAutospacing="1"/>
        <w:ind w:firstLine="360"/>
      </w:pPr>
      <w:bookmarkStart w:id="188" w:name="_Toc989079"/>
      <w:r>
        <w:rPr>
          <w:rFonts w:hint="eastAsia"/>
          <w:sz w:val="18"/>
          <w:szCs w:val="18"/>
        </w:rPr>
        <w:t>[</w:t>
      </w:r>
      <w:r>
        <w:rPr>
          <w:rFonts w:hint="eastAsia"/>
          <w:sz w:val="18"/>
          <w:szCs w:val="18"/>
        </w:rPr>
        <w:t>注</w:t>
      </w:r>
      <w:r>
        <w:rPr>
          <w:rFonts w:hint="eastAsia"/>
          <w:sz w:val="18"/>
          <w:szCs w:val="18"/>
        </w:rPr>
        <w:t>]</w:t>
      </w:r>
      <w:r>
        <w:rPr>
          <w:rFonts w:hint="eastAsia"/>
          <w:sz w:val="18"/>
          <w:szCs w:val="18"/>
        </w:rPr>
        <w:t>系非同一控制下企业合并形成的长期股权投资差额，期末不存在减值情况。</w:t>
      </w:r>
    </w:p>
    <w:bookmarkEnd w:id="188"/>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说明商誉减值测试过程、关键参数（如预计未来现金流量现值时的预测期增长率、稳定期增长率、利润率、折现率、预测期等）及商誉减值损失的确认方法：</w:t>
      </w:r>
    </w:p>
    <w:p w:rsidR="00CB63CD" w:rsidRPr="004E7CC3" w:rsidRDefault="00CB63CD">
      <w:pPr>
        <w:spacing w:before="100" w:beforeAutospacing="1" w:after="100" w:afterAutospacing="1" w:line="360" w:lineRule="auto"/>
        <w:ind w:firstLine="360"/>
        <w:divId w:val="2055688850"/>
        <w:rPr>
          <w:rFonts w:asciiTheme="minorEastAsia" w:hAnsiTheme="minorEastAsia"/>
        </w:rPr>
      </w:pPr>
      <w:r w:rsidRPr="004E7CC3">
        <w:rPr>
          <w:rFonts w:asciiTheme="minorEastAsia" w:hAnsiTheme="minorEastAsia" w:hint="eastAsia"/>
          <w:sz w:val="18"/>
          <w:szCs w:val="18"/>
        </w:rPr>
        <w:t>商誉减值准备系以其账面价值与预计可收回金额之间的差异计算确定,因公司在可预见的将来并无出售此投资的计划,故按未来现金流量现值来确定有关资产组的预计可收回金额。经测试，截止2022年6月30日，此项商誉不存在减值情况。</w:t>
      </w:r>
    </w:p>
    <w:p w:rsidR="00F068AD" w:rsidRDefault="00CB63CD">
      <w:pPr>
        <w:pStyle w:val="3"/>
        <w:spacing w:line="280" w:lineRule="exact"/>
        <w:jc w:val="left"/>
        <w:rPr>
          <w:rFonts w:ascii="宋体" w:hAnsi="宋体" w:cs="宋体"/>
          <w:b/>
          <w:bCs/>
        </w:rPr>
      </w:pPr>
      <w:bookmarkStart w:id="189" w:name="_Toc989080"/>
      <w:r>
        <w:rPr>
          <w:rFonts w:ascii="宋体" w:hAnsi="宋体" w:cs="宋体"/>
          <w:b/>
          <w:bCs/>
        </w:rPr>
        <w:t>15、递延所得税资产/递延所得税负债</w:t>
      </w:r>
      <w:bookmarkEnd w:id="189"/>
    </w:p>
    <w:p w:rsidR="00F068AD" w:rsidRDefault="00CB63CD">
      <w:pPr>
        <w:keepNext/>
        <w:keepLines/>
        <w:spacing w:before="300" w:after="300" w:line="280" w:lineRule="exact"/>
        <w:outlineLvl w:val="3"/>
        <w:rPr>
          <w:rFonts w:ascii="宋体" w:eastAsia="宋体" w:hAnsi="宋体" w:cs="宋体"/>
          <w:b/>
          <w:bCs/>
          <w:szCs w:val="21"/>
        </w:rPr>
      </w:pPr>
      <w:bookmarkStart w:id="190" w:name="_Toc989081"/>
      <w:r>
        <w:rPr>
          <w:rFonts w:ascii="宋体" w:eastAsia="宋体" w:hAnsi="宋体" w:cs="宋体"/>
          <w:b/>
          <w:bCs/>
          <w:szCs w:val="21"/>
        </w:rPr>
        <w:t>（1） 未经抵销的递延所得税资产</w:t>
      </w:r>
      <w:bookmarkEnd w:id="190"/>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F068AD">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068AD">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资产减值准备</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52,717,835.63</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13,179,458.91</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49,187,864.60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12,296,966.15</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内部交易未实现利润</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可抵扣亏损</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2,131,728.25</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532,932.06</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1,099,445.68</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274,861.42</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预提费用</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1,000,000.00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250,000.00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1,000,000.00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250,000.00</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交易性金融资产公允价值变动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159,018.20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39,754.54</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3,588.41</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897.10</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其他非流动金融资产公允价值变动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32,517,831.90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8,129,457.98</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32,517,831.90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8,129,457.98</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长期股权投资减值准备</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38,872,164.85</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9,718,041.22</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38,872,164.85</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9,718,041.21</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127,398,578.83</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31,849,644.71</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122,680,895.44</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30,670,223.86</w:t>
            </w:r>
          </w:p>
        </w:tc>
      </w:tr>
    </w:tbl>
    <w:p w:rsidR="00F068AD" w:rsidRDefault="00CB63CD">
      <w:pPr>
        <w:keepNext/>
        <w:keepLines/>
        <w:spacing w:before="300" w:after="300" w:line="280" w:lineRule="exact"/>
        <w:outlineLvl w:val="3"/>
        <w:rPr>
          <w:rFonts w:ascii="宋体" w:eastAsia="宋体" w:hAnsi="宋体" w:cs="宋体"/>
          <w:b/>
          <w:bCs/>
          <w:szCs w:val="21"/>
        </w:rPr>
      </w:pPr>
      <w:bookmarkStart w:id="191" w:name="_Toc989082"/>
      <w:r>
        <w:rPr>
          <w:rFonts w:ascii="宋体" w:eastAsia="宋体" w:hAnsi="宋体" w:cs="宋体"/>
          <w:b/>
          <w:bCs/>
          <w:szCs w:val="21"/>
        </w:rPr>
        <w:t>（2） 未经抵销的递延所得税负债</w:t>
      </w:r>
      <w:bookmarkEnd w:id="191"/>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F068AD">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068AD">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递延所得税负债</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交易性金融资产公允</w:t>
            </w:r>
            <w:r>
              <w:rPr>
                <w:rFonts w:ascii="宋体" w:eastAsia="宋体" w:hAnsi="宋体" w:cs="宋体"/>
                <w:sz w:val="18"/>
                <w:szCs w:val="18"/>
              </w:rPr>
              <w:lastRenderedPageBreak/>
              <w:t>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lastRenderedPageBreak/>
              <w:t>263,840,045.93</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65,960,011.48</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301,327,734.28</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75,331,933.57</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lastRenderedPageBreak/>
              <w:t>其他非流动金融资产公允价值变动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334,677.24</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83,669.31</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334,677.24</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83,669.31</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264,174,723.17</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66,043,680.79</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301,662,411.52</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75,415,602.88</w:t>
            </w:r>
          </w:p>
        </w:tc>
      </w:tr>
    </w:tbl>
    <w:p w:rsidR="00F068AD" w:rsidRDefault="00CB63CD">
      <w:pPr>
        <w:keepNext/>
        <w:keepLines/>
        <w:spacing w:before="300" w:after="300" w:line="280" w:lineRule="exact"/>
        <w:outlineLvl w:val="3"/>
        <w:rPr>
          <w:rFonts w:ascii="宋体" w:eastAsia="宋体" w:hAnsi="宋体" w:cs="宋体"/>
          <w:b/>
          <w:bCs/>
          <w:szCs w:val="21"/>
        </w:rPr>
      </w:pPr>
      <w:bookmarkStart w:id="192" w:name="_Toc989083"/>
      <w:r>
        <w:rPr>
          <w:rFonts w:ascii="宋体" w:eastAsia="宋体" w:hAnsi="宋体" w:cs="宋体"/>
          <w:b/>
          <w:bCs/>
          <w:szCs w:val="21"/>
        </w:rPr>
        <w:t>（3） 以抵销后净额列示的递延所得税资产或负债</w:t>
      </w:r>
      <w:bookmarkEnd w:id="192"/>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递延所得税资产和负债期末互抵金额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抵销后递延所得税资产或负债期末余额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递延所得税资产和负债期初互抵金额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抵销后递延所得税资产或负债期初余额</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21,023,778.31</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10,825,866.40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20,208,264.99</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10,461,958.87</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21,023,778.31</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45,019,902.48</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20,208,264.99</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55,207,337.89</w:t>
            </w:r>
          </w:p>
        </w:tc>
      </w:tr>
    </w:tbl>
    <w:p w:rsidR="00F068AD" w:rsidRDefault="00CB63CD">
      <w:pPr>
        <w:keepNext/>
        <w:keepLines/>
        <w:spacing w:before="300" w:after="300" w:line="280" w:lineRule="exact"/>
        <w:outlineLvl w:val="3"/>
        <w:rPr>
          <w:rFonts w:ascii="宋体" w:eastAsia="宋体" w:hAnsi="宋体" w:cs="宋体"/>
          <w:b/>
          <w:bCs/>
          <w:szCs w:val="21"/>
        </w:rPr>
      </w:pPr>
      <w:bookmarkStart w:id="193" w:name="_Toc989084"/>
      <w:r>
        <w:rPr>
          <w:rFonts w:ascii="宋体" w:eastAsia="宋体" w:hAnsi="宋体" w:cs="宋体"/>
          <w:b/>
          <w:bCs/>
          <w:szCs w:val="21"/>
        </w:rPr>
        <w:t>（4） 未确认递延所得税资产明细</w:t>
      </w:r>
      <w:bookmarkEnd w:id="193"/>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可抵扣暂时性差异</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10,516,995.66</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10,455,756.66</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可抵扣亏损</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1,225,217.63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1,173,582.45</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11,742,213.29</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11,629,339.11</w:t>
            </w:r>
          </w:p>
        </w:tc>
      </w:tr>
    </w:tbl>
    <w:p w:rsidR="00F068AD" w:rsidRDefault="00CB63CD">
      <w:pPr>
        <w:keepNext/>
        <w:keepLines/>
        <w:spacing w:before="300" w:after="300" w:line="280" w:lineRule="exact"/>
        <w:outlineLvl w:val="3"/>
        <w:rPr>
          <w:rFonts w:ascii="宋体" w:eastAsia="宋体" w:hAnsi="宋体" w:cs="宋体"/>
          <w:b/>
          <w:bCs/>
          <w:szCs w:val="21"/>
        </w:rPr>
      </w:pPr>
      <w:bookmarkStart w:id="194" w:name="_Toc989085"/>
      <w:r>
        <w:rPr>
          <w:rFonts w:ascii="宋体" w:eastAsia="宋体" w:hAnsi="宋体" w:cs="宋体"/>
          <w:b/>
          <w:bCs/>
          <w:szCs w:val="21"/>
        </w:rPr>
        <w:t>（5） 未确认递延所得税资产的可抵扣亏损将于以下年度到期</w:t>
      </w:r>
      <w:bookmarkEnd w:id="194"/>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年份</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期末金额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期初金额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备注</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2026年</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1,173,582.45</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1,173,582.45</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2027年</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51,635.18</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1,225,217.63</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1,173,582.45</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bl>
    <w:p w:rsidR="00F068AD" w:rsidRDefault="00CB63CD">
      <w:pPr>
        <w:pStyle w:val="3"/>
        <w:spacing w:line="280" w:lineRule="exact"/>
        <w:jc w:val="left"/>
        <w:rPr>
          <w:rFonts w:ascii="宋体" w:hAnsi="宋体" w:cs="宋体"/>
          <w:b/>
          <w:bCs/>
        </w:rPr>
      </w:pPr>
      <w:bookmarkStart w:id="195" w:name="_Toc989086"/>
      <w:r>
        <w:rPr>
          <w:rFonts w:ascii="宋体" w:hAnsi="宋体" w:cs="宋体"/>
          <w:b/>
          <w:bCs/>
        </w:rPr>
        <w:t>16、其他非流动资产</w:t>
      </w:r>
      <w:bookmarkEnd w:id="195"/>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F068AD">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068AD">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预付长期资产构建款项</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6,309,040.00</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6,309,040.00</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6,590,816.00</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6,590,816.00</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6,309,040.00</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6,309,040.00</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6,590,816.00</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6,590,816.00</w:t>
            </w:r>
          </w:p>
        </w:tc>
      </w:tr>
    </w:tbl>
    <w:p w:rsidR="00F068AD" w:rsidRDefault="00CB63CD">
      <w:pPr>
        <w:pStyle w:val="3"/>
        <w:spacing w:line="280" w:lineRule="exact"/>
        <w:jc w:val="left"/>
        <w:rPr>
          <w:rFonts w:ascii="宋体" w:hAnsi="宋体" w:cs="宋体"/>
          <w:b/>
          <w:bCs/>
        </w:rPr>
      </w:pPr>
      <w:bookmarkStart w:id="196" w:name="_Toc989087"/>
      <w:r>
        <w:rPr>
          <w:rFonts w:ascii="宋体" w:hAnsi="宋体" w:cs="宋体"/>
          <w:b/>
          <w:bCs/>
        </w:rPr>
        <w:t>17、短期借款</w:t>
      </w:r>
      <w:bookmarkEnd w:id="196"/>
    </w:p>
    <w:p w:rsidR="00F068AD" w:rsidRDefault="00CB63CD">
      <w:pPr>
        <w:keepNext/>
        <w:keepLines/>
        <w:spacing w:before="300" w:after="300" w:line="280" w:lineRule="exact"/>
        <w:outlineLvl w:val="3"/>
        <w:rPr>
          <w:rFonts w:ascii="宋体" w:eastAsia="宋体" w:hAnsi="宋体" w:cs="宋体"/>
          <w:b/>
          <w:bCs/>
          <w:szCs w:val="21"/>
        </w:rPr>
      </w:pPr>
      <w:bookmarkStart w:id="197" w:name="_Toc989088"/>
      <w:r>
        <w:rPr>
          <w:rFonts w:ascii="宋体" w:eastAsia="宋体" w:hAnsi="宋体" w:cs="宋体"/>
          <w:b/>
          <w:bCs/>
          <w:szCs w:val="21"/>
        </w:rPr>
        <w:t>（1） 短期借款分类</w:t>
      </w:r>
      <w:bookmarkEnd w:id="197"/>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质押借款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250,000,000.00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152,087,715.43</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保证借款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682,000,000.00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640,000,000.00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保证+质押借款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97,000,000.00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287,500,000.00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lastRenderedPageBreak/>
              <w:t>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859,513.89</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1,296,413.64</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1,029,859,513.89</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1,080,884,129.07</w:t>
            </w:r>
          </w:p>
        </w:tc>
      </w:tr>
    </w:tbl>
    <w:p w:rsidR="00F068AD" w:rsidRDefault="00CB63CD">
      <w:pPr>
        <w:keepNext/>
        <w:keepLines/>
        <w:spacing w:before="300" w:after="300" w:line="280" w:lineRule="exact"/>
        <w:outlineLvl w:val="3"/>
        <w:rPr>
          <w:rFonts w:ascii="宋体" w:eastAsia="宋体" w:hAnsi="宋体" w:cs="宋体"/>
          <w:b/>
          <w:bCs/>
          <w:szCs w:val="21"/>
        </w:rPr>
      </w:pPr>
      <w:bookmarkStart w:id="198" w:name="_Toc989089"/>
      <w:r>
        <w:rPr>
          <w:rFonts w:ascii="宋体" w:eastAsia="宋体" w:hAnsi="宋体" w:cs="宋体"/>
          <w:b/>
          <w:bCs/>
          <w:szCs w:val="21"/>
        </w:rPr>
        <w:t>（2） 已逾期未偿还的短期借款情况</w:t>
      </w:r>
      <w:bookmarkEnd w:id="198"/>
    </w:p>
    <w:p w:rsidR="00CB63CD" w:rsidRDefault="00CB63CD" w:rsidP="004E7CC3">
      <w:pPr>
        <w:spacing w:before="100" w:beforeAutospacing="1" w:after="100" w:afterAutospacing="1" w:line="360" w:lineRule="auto"/>
        <w:divId w:val="1713991019"/>
      </w:pPr>
      <w:r>
        <w:rPr>
          <w:rFonts w:hint="eastAsia"/>
          <w:sz w:val="18"/>
          <w:szCs w:val="18"/>
        </w:rPr>
        <w:t>截止报告期末，公司无已逾期未偿还短期借款。</w:t>
      </w:r>
    </w:p>
    <w:p w:rsidR="00F068AD" w:rsidRDefault="00CB63CD">
      <w:pPr>
        <w:pStyle w:val="3"/>
        <w:spacing w:line="280" w:lineRule="exact"/>
        <w:jc w:val="left"/>
        <w:rPr>
          <w:rFonts w:ascii="宋体" w:hAnsi="宋体" w:cs="宋体"/>
          <w:b/>
          <w:bCs/>
        </w:rPr>
      </w:pPr>
      <w:bookmarkStart w:id="199" w:name="_Toc989090"/>
      <w:r>
        <w:rPr>
          <w:rFonts w:ascii="宋体" w:hAnsi="宋体" w:cs="宋体"/>
          <w:b/>
          <w:bCs/>
        </w:rPr>
        <w:t>18、应付票据</w:t>
      </w:r>
      <w:bookmarkEnd w:id="199"/>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种类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银行承兑汇票</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50,000,000.00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50,000,000.00</w:t>
            </w:r>
          </w:p>
        </w:tc>
      </w:tr>
    </w:tbl>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本期末已到期未支付的应付票据总额为0.00元。</w:t>
      </w:r>
    </w:p>
    <w:p w:rsidR="00F068AD" w:rsidRDefault="00CB63CD">
      <w:pPr>
        <w:pStyle w:val="3"/>
        <w:spacing w:line="280" w:lineRule="exact"/>
        <w:jc w:val="left"/>
        <w:rPr>
          <w:rFonts w:ascii="宋体" w:hAnsi="宋体" w:cs="宋体"/>
          <w:b/>
          <w:bCs/>
        </w:rPr>
      </w:pPr>
      <w:bookmarkStart w:id="200" w:name="_Toc989091"/>
      <w:r>
        <w:rPr>
          <w:rFonts w:ascii="宋体" w:hAnsi="宋体" w:cs="宋体"/>
          <w:b/>
          <w:bCs/>
        </w:rPr>
        <w:t>19、应付账款</w:t>
      </w:r>
      <w:bookmarkEnd w:id="200"/>
    </w:p>
    <w:p w:rsidR="00F068AD" w:rsidRDefault="00CB63CD">
      <w:pPr>
        <w:keepNext/>
        <w:keepLines/>
        <w:spacing w:before="300" w:after="300" w:line="280" w:lineRule="exact"/>
        <w:outlineLvl w:val="3"/>
        <w:rPr>
          <w:rFonts w:ascii="宋体" w:eastAsia="宋体" w:hAnsi="宋体" w:cs="宋体"/>
          <w:b/>
          <w:bCs/>
          <w:sz w:val="18"/>
          <w:szCs w:val="18"/>
        </w:rPr>
      </w:pPr>
      <w:bookmarkStart w:id="201" w:name="_Toc989092"/>
      <w:r>
        <w:rPr>
          <w:rFonts w:ascii="宋体" w:eastAsia="宋体" w:hAnsi="宋体" w:cs="宋体"/>
          <w:b/>
          <w:bCs/>
          <w:sz w:val="18"/>
          <w:szCs w:val="18"/>
        </w:rPr>
        <w:t>（1） 应付账款列示</w:t>
      </w:r>
      <w:bookmarkEnd w:id="201"/>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应付商品劳务款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57,253,259.94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54,617,544.61</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应付工程设备款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11,041,032.90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9,537,419.70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68,294,292.84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64,154,964.31</w:t>
            </w:r>
          </w:p>
        </w:tc>
      </w:tr>
    </w:tbl>
    <w:p w:rsidR="00F068AD" w:rsidRDefault="00CB63CD">
      <w:pPr>
        <w:keepNext/>
        <w:keepLines/>
        <w:spacing w:before="300" w:after="300" w:line="280" w:lineRule="exact"/>
        <w:outlineLvl w:val="3"/>
        <w:rPr>
          <w:rFonts w:ascii="宋体" w:eastAsia="宋体" w:hAnsi="宋体" w:cs="宋体"/>
          <w:b/>
          <w:bCs/>
          <w:sz w:val="18"/>
          <w:szCs w:val="18"/>
        </w:rPr>
      </w:pPr>
      <w:bookmarkStart w:id="202" w:name="_Toc989093"/>
      <w:r>
        <w:rPr>
          <w:rFonts w:ascii="宋体" w:eastAsia="宋体" w:hAnsi="宋体" w:cs="宋体"/>
          <w:b/>
          <w:bCs/>
          <w:sz w:val="18"/>
          <w:szCs w:val="18"/>
        </w:rPr>
        <w:t>（2） 账龄超过1年的重要应付账款</w:t>
      </w:r>
      <w:bookmarkEnd w:id="202"/>
    </w:p>
    <w:p w:rsidR="00CB63CD" w:rsidRPr="00E21EAD" w:rsidRDefault="00CB63CD" w:rsidP="004E7CC3">
      <w:pPr>
        <w:spacing w:before="100" w:beforeAutospacing="1" w:after="100" w:afterAutospacing="1" w:line="360" w:lineRule="auto"/>
        <w:divId w:val="1150318708"/>
        <w:rPr>
          <w:rFonts w:asciiTheme="minorEastAsia" w:hAnsiTheme="minorEastAsia"/>
        </w:rPr>
      </w:pPr>
      <w:r w:rsidRPr="00E21EAD">
        <w:rPr>
          <w:rFonts w:asciiTheme="minorEastAsia" w:hAnsiTheme="minorEastAsia" w:hint="eastAsia"/>
          <w:sz w:val="18"/>
          <w:szCs w:val="18"/>
        </w:rPr>
        <w:t>公司无账龄超过1年的重要应付账款。</w:t>
      </w:r>
    </w:p>
    <w:p w:rsidR="00F068AD" w:rsidRDefault="00CB63CD">
      <w:pPr>
        <w:pStyle w:val="3"/>
        <w:spacing w:line="280" w:lineRule="exact"/>
        <w:jc w:val="left"/>
        <w:rPr>
          <w:rFonts w:ascii="宋体" w:hAnsi="宋体" w:cs="宋体"/>
          <w:b/>
          <w:bCs/>
        </w:rPr>
      </w:pPr>
      <w:bookmarkStart w:id="203" w:name="_Toc989094"/>
      <w:r>
        <w:rPr>
          <w:rFonts w:ascii="宋体" w:hAnsi="宋体" w:cs="宋体"/>
          <w:b/>
          <w:bCs/>
        </w:rPr>
        <w:t>20、预收款项</w:t>
      </w:r>
      <w:bookmarkEnd w:id="203"/>
    </w:p>
    <w:p w:rsidR="00F068AD" w:rsidRDefault="00CB63CD">
      <w:pPr>
        <w:keepNext/>
        <w:keepLines/>
        <w:spacing w:before="300" w:after="300" w:line="280" w:lineRule="exact"/>
        <w:outlineLvl w:val="3"/>
        <w:rPr>
          <w:rFonts w:ascii="宋体" w:eastAsia="宋体" w:hAnsi="宋体" w:cs="宋体"/>
          <w:b/>
          <w:bCs/>
          <w:sz w:val="18"/>
          <w:szCs w:val="18"/>
        </w:rPr>
      </w:pPr>
      <w:bookmarkStart w:id="204" w:name="_Toc989095"/>
      <w:r>
        <w:rPr>
          <w:rFonts w:ascii="宋体" w:eastAsia="宋体" w:hAnsi="宋体" w:cs="宋体"/>
          <w:b/>
          <w:bCs/>
          <w:sz w:val="18"/>
          <w:szCs w:val="18"/>
        </w:rPr>
        <w:t>（1） 预收款项列示</w:t>
      </w:r>
      <w:bookmarkEnd w:id="204"/>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预收仓储款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4,752,930.99</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3,254,312.14</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4,752,930.99</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3,254,312.14</w:t>
            </w:r>
          </w:p>
        </w:tc>
      </w:tr>
    </w:tbl>
    <w:p w:rsidR="00F068AD" w:rsidRDefault="00CB63CD">
      <w:pPr>
        <w:keepNext/>
        <w:keepLines/>
        <w:spacing w:before="300" w:after="300" w:line="280" w:lineRule="exact"/>
        <w:outlineLvl w:val="3"/>
        <w:rPr>
          <w:rFonts w:ascii="宋体" w:eastAsia="宋体" w:hAnsi="宋体" w:cs="宋体"/>
          <w:b/>
          <w:bCs/>
          <w:sz w:val="18"/>
          <w:szCs w:val="18"/>
        </w:rPr>
      </w:pPr>
      <w:bookmarkStart w:id="205" w:name="_Toc989096"/>
      <w:r>
        <w:rPr>
          <w:rFonts w:ascii="宋体" w:eastAsia="宋体" w:hAnsi="宋体" w:cs="宋体"/>
          <w:b/>
          <w:bCs/>
          <w:sz w:val="18"/>
          <w:szCs w:val="18"/>
        </w:rPr>
        <w:t>（2） 账龄超过1年的重要预收款项</w:t>
      </w:r>
      <w:bookmarkEnd w:id="205"/>
    </w:p>
    <w:p w:rsidR="00F068AD" w:rsidRDefault="00E6733F" w:rsidP="00E6733F">
      <w:pPr>
        <w:spacing w:before="40" w:after="40" w:line="240" w:lineRule="exact"/>
        <w:rPr>
          <w:rFonts w:ascii="宋体" w:eastAsia="宋体" w:hAnsi="宋体" w:cs="宋体"/>
          <w:sz w:val="18"/>
          <w:szCs w:val="18"/>
        </w:rPr>
      </w:pPr>
      <w:r>
        <w:rPr>
          <w:rFonts w:ascii="宋体" w:eastAsia="宋体" w:hAnsi="宋体" w:cs="宋体"/>
          <w:sz w:val="18"/>
          <w:szCs w:val="18"/>
        </w:rPr>
        <w:t>公司无账龄超过</w:t>
      </w:r>
      <w:r>
        <w:rPr>
          <w:rFonts w:ascii="宋体" w:eastAsia="宋体" w:hAnsi="宋体" w:cs="宋体" w:hint="eastAsia"/>
          <w:sz w:val="18"/>
          <w:szCs w:val="18"/>
        </w:rPr>
        <w:t>1年的重要预收款项。</w:t>
      </w:r>
    </w:p>
    <w:p w:rsidR="00F068AD" w:rsidRDefault="00CB63CD">
      <w:pPr>
        <w:pStyle w:val="3"/>
        <w:spacing w:line="280" w:lineRule="exact"/>
        <w:jc w:val="left"/>
        <w:rPr>
          <w:rFonts w:ascii="宋体" w:hAnsi="宋体" w:cs="宋体"/>
          <w:b/>
          <w:bCs/>
        </w:rPr>
      </w:pPr>
      <w:bookmarkStart w:id="206" w:name="_Toc989097"/>
      <w:r>
        <w:rPr>
          <w:rFonts w:ascii="宋体" w:hAnsi="宋体" w:cs="宋体"/>
          <w:b/>
          <w:bCs/>
        </w:rPr>
        <w:t>21、合同负债</w:t>
      </w:r>
      <w:bookmarkEnd w:id="206"/>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lastRenderedPageBreak/>
              <w:t>预收销售合同货款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86,926,526.83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77,503,569.97</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86,926,526.83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77,503,569.97</w:t>
            </w:r>
          </w:p>
        </w:tc>
      </w:tr>
    </w:tbl>
    <w:p w:rsidR="00F068AD" w:rsidRDefault="00CB63CD">
      <w:pPr>
        <w:pStyle w:val="3"/>
        <w:spacing w:line="280" w:lineRule="exact"/>
        <w:jc w:val="left"/>
        <w:rPr>
          <w:rFonts w:ascii="宋体" w:hAnsi="宋体" w:cs="宋体"/>
          <w:b/>
          <w:bCs/>
        </w:rPr>
      </w:pPr>
      <w:bookmarkStart w:id="207" w:name="_Toc989098"/>
      <w:r>
        <w:rPr>
          <w:rFonts w:ascii="宋体" w:hAnsi="宋体" w:cs="宋体"/>
          <w:b/>
          <w:bCs/>
        </w:rPr>
        <w:t>22、应付职工薪酬</w:t>
      </w:r>
      <w:bookmarkEnd w:id="207"/>
    </w:p>
    <w:p w:rsidR="00F068AD" w:rsidRDefault="00CB63CD">
      <w:pPr>
        <w:keepNext/>
        <w:keepLines/>
        <w:spacing w:before="300" w:after="300" w:line="280" w:lineRule="exact"/>
        <w:outlineLvl w:val="3"/>
        <w:rPr>
          <w:rFonts w:ascii="宋体" w:eastAsia="宋体" w:hAnsi="宋体" w:cs="宋体"/>
          <w:b/>
          <w:bCs/>
          <w:szCs w:val="21"/>
        </w:rPr>
      </w:pPr>
      <w:bookmarkStart w:id="208" w:name="_Toc989099"/>
      <w:r>
        <w:rPr>
          <w:rFonts w:ascii="宋体" w:eastAsia="宋体" w:hAnsi="宋体" w:cs="宋体"/>
          <w:b/>
          <w:bCs/>
          <w:szCs w:val="21"/>
        </w:rPr>
        <w:t>（1） 应付职工薪酬列示</w:t>
      </w:r>
      <w:bookmarkEnd w:id="208"/>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一、短期薪酬</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33,058,078.15</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52,533,029.70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62,304,129.94</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23,286,977.91</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二、离职后福利-设定提存计划</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192,055.91</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3,283,952.73</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3,289,636.01</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186,372.63</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33,250,134.06</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55,816,982.43</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65,593,765.95</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23,473,350.54</w:t>
            </w:r>
          </w:p>
        </w:tc>
      </w:tr>
    </w:tbl>
    <w:p w:rsidR="00F068AD" w:rsidRDefault="00CB63CD">
      <w:pPr>
        <w:keepNext/>
        <w:keepLines/>
        <w:spacing w:before="300" w:after="300" w:line="280" w:lineRule="exact"/>
        <w:outlineLvl w:val="3"/>
        <w:rPr>
          <w:rFonts w:ascii="宋体" w:eastAsia="宋体" w:hAnsi="宋体" w:cs="宋体"/>
          <w:b/>
          <w:bCs/>
          <w:szCs w:val="21"/>
        </w:rPr>
      </w:pPr>
      <w:bookmarkStart w:id="209" w:name="_Toc989100"/>
      <w:r>
        <w:rPr>
          <w:rFonts w:ascii="宋体" w:eastAsia="宋体" w:hAnsi="宋体" w:cs="宋体"/>
          <w:b/>
          <w:bCs/>
          <w:szCs w:val="21"/>
        </w:rPr>
        <w:t>（2） 短期薪酬列示</w:t>
      </w:r>
      <w:bookmarkEnd w:id="209"/>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1、工资、奖金、津贴和补贴</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31,670,490.36</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45,886,847.30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55,625,661.05</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21,931,676.61</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2、职工福利费</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4,282,280.75</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4,282,280.75</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3、社会保险费</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111,832.30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1,799,338.65</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1,801,184.14</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109,986.81</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其中：医疗保险费</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93,301.74</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1,427,194.82</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1,428,367.26</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92,129.30</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工伤保险费</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9,762.84</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227,224.99</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227,782.83</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9,205.00</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生育保险费</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8,767.72</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144,918.84</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145,034.05</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8,652.51</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4、住房公积金</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67,272.00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545,163.00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541,424.00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71,011.00</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5、工会经费和职工教育经费</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1,208,483.49</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19,400.00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53,580.00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1,174,303.49</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33,058,078.15</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52,533,029.70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62,304,129.94</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23,286,977.91</w:t>
            </w:r>
          </w:p>
        </w:tc>
      </w:tr>
    </w:tbl>
    <w:p w:rsidR="00F068AD" w:rsidRDefault="00CB63CD">
      <w:pPr>
        <w:keepNext/>
        <w:keepLines/>
        <w:spacing w:before="300" w:after="300" w:line="280" w:lineRule="exact"/>
        <w:outlineLvl w:val="3"/>
        <w:rPr>
          <w:rFonts w:ascii="宋体" w:eastAsia="宋体" w:hAnsi="宋体" w:cs="宋体"/>
          <w:b/>
          <w:bCs/>
          <w:szCs w:val="21"/>
        </w:rPr>
      </w:pPr>
      <w:bookmarkStart w:id="210" w:name="_Toc989101"/>
      <w:r>
        <w:rPr>
          <w:rFonts w:ascii="宋体" w:eastAsia="宋体" w:hAnsi="宋体" w:cs="宋体"/>
          <w:b/>
          <w:bCs/>
          <w:szCs w:val="21"/>
        </w:rPr>
        <w:t>（3） 设定提存计划列示</w:t>
      </w:r>
      <w:bookmarkEnd w:id="210"/>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1、基本养老保险</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186,104.87</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3,173,225.78</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3,178,661.80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180,668.85</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2、失业保险费</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5,951.04</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110,726.95</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110,974.21</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5,703.78</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192,055.91</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3,283,952.73</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3,289,636.01</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186,372.63</w:t>
            </w:r>
          </w:p>
        </w:tc>
      </w:tr>
    </w:tbl>
    <w:p w:rsidR="00F068AD" w:rsidRDefault="00CB63CD">
      <w:pPr>
        <w:pStyle w:val="3"/>
        <w:spacing w:line="280" w:lineRule="exact"/>
        <w:jc w:val="left"/>
        <w:rPr>
          <w:rFonts w:ascii="宋体" w:hAnsi="宋体" w:cs="宋体"/>
          <w:b/>
          <w:bCs/>
        </w:rPr>
      </w:pPr>
      <w:bookmarkStart w:id="211" w:name="_Toc989102"/>
      <w:r>
        <w:rPr>
          <w:rFonts w:ascii="宋体" w:hAnsi="宋体" w:cs="宋体"/>
          <w:b/>
          <w:bCs/>
        </w:rPr>
        <w:t>23、应交税费</w:t>
      </w:r>
      <w:bookmarkEnd w:id="211"/>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增值税</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7,446,865.48</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274,749.83</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企业所得税</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18,466,530.57</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216,599,354.73</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个人所得税</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133,135.19</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239,239.89</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297,925.27</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1,895.61</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578,845.56</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578,845.55</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印花税</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85,656.87</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87,813.22</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281,566.85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1,895.63</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107,463.30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107,463.30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其他税费</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50,335.53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27,448,324.62</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217,891,257.76</w:t>
            </w:r>
          </w:p>
        </w:tc>
      </w:tr>
    </w:tbl>
    <w:p w:rsidR="00F068AD" w:rsidRDefault="00CB63CD">
      <w:pPr>
        <w:pStyle w:val="3"/>
        <w:spacing w:line="280" w:lineRule="exact"/>
        <w:jc w:val="left"/>
        <w:rPr>
          <w:rFonts w:ascii="宋体" w:hAnsi="宋体" w:cs="宋体"/>
          <w:b/>
          <w:bCs/>
        </w:rPr>
      </w:pPr>
      <w:bookmarkStart w:id="212" w:name="_Toc989103"/>
      <w:r>
        <w:rPr>
          <w:rFonts w:ascii="宋体" w:hAnsi="宋体" w:cs="宋体"/>
          <w:b/>
          <w:bCs/>
        </w:rPr>
        <w:t>24、其他应付款</w:t>
      </w:r>
      <w:bookmarkEnd w:id="212"/>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44,300,644.35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698,791.58</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81,108.60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44,999,435.93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81,108.60</w:t>
            </w:r>
          </w:p>
        </w:tc>
      </w:tr>
    </w:tbl>
    <w:p w:rsidR="00F068AD" w:rsidRDefault="00CB63CD">
      <w:pPr>
        <w:keepNext/>
        <w:keepLines/>
        <w:spacing w:before="300" w:after="300" w:line="280" w:lineRule="exact"/>
        <w:outlineLvl w:val="3"/>
        <w:rPr>
          <w:rFonts w:ascii="宋体" w:eastAsia="宋体" w:hAnsi="宋体" w:cs="宋体"/>
          <w:b/>
          <w:bCs/>
          <w:sz w:val="18"/>
          <w:szCs w:val="18"/>
        </w:rPr>
      </w:pPr>
      <w:bookmarkStart w:id="213" w:name="_Toc989104"/>
      <w:r>
        <w:rPr>
          <w:rFonts w:ascii="宋体" w:eastAsia="宋体" w:hAnsi="宋体" w:cs="宋体"/>
          <w:b/>
          <w:bCs/>
          <w:sz w:val="18"/>
          <w:szCs w:val="18"/>
        </w:rPr>
        <w:t>（1） 应付股利</w:t>
      </w:r>
      <w:bookmarkEnd w:id="213"/>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普通股股利</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44,300,644.35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44,300,644.35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bl>
    <w:p w:rsidR="00F068AD" w:rsidRDefault="00CB63CD">
      <w:pPr>
        <w:keepNext/>
        <w:keepLines/>
        <w:spacing w:before="300" w:after="300" w:line="280" w:lineRule="exact"/>
        <w:outlineLvl w:val="3"/>
        <w:rPr>
          <w:rFonts w:ascii="宋体" w:eastAsia="宋体" w:hAnsi="宋体" w:cs="宋体"/>
          <w:b/>
          <w:bCs/>
          <w:sz w:val="18"/>
          <w:szCs w:val="18"/>
        </w:rPr>
      </w:pPr>
      <w:bookmarkStart w:id="214" w:name="_Toc989105"/>
      <w:r>
        <w:rPr>
          <w:rFonts w:ascii="宋体" w:eastAsia="宋体" w:hAnsi="宋体" w:cs="宋体"/>
          <w:b/>
          <w:bCs/>
          <w:sz w:val="18"/>
          <w:szCs w:val="18"/>
        </w:rPr>
        <w:t>（2） 其他应付款</w:t>
      </w:r>
      <w:bookmarkEnd w:id="214"/>
    </w:p>
    <w:p w:rsidR="00F068AD" w:rsidRDefault="00CB63CD">
      <w:pPr>
        <w:keepNext/>
        <w:keepLines/>
        <w:spacing w:before="300" w:after="300" w:line="280" w:lineRule="exact"/>
        <w:outlineLvl w:val="4"/>
        <w:rPr>
          <w:rFonts w:ascii="宋体" w:eastAsia="宋体" w:hAnsi="宋体" w:cs="宋体"/>
          <w:b/>
          <w:bCs/>
          <w:sz w:val="18"/>
          <w:szCs w:val="18"/>
        </w:rPr>
      </w:pPr>
      <w:bookmarkStart w:id="215" w:name="_Toc989106"/>
      <w:r>
        <w:rPr>
          <w:rFonts w:ascii="宋体" w:eastAsia="宋体" w:hAnsi="宋体" w:cs="宋体"/>
          <w:b/>
          <w:bCs/>
          <w:sz w:val="18"/>
          <w:szCs w:val="18"/>
        </w:rPr>
        <w:t>1） 按款项性质列示其他应付款</w:t>
      </w:r>
      <w:bookmarkEnd w:id="215"/>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应付费用</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398,791.58</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81,108.60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其他暂收款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300,000.00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698,791.58</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81,108.60</w:t>
            </w:r>
          </w:p>
        </w:tc>
      </w:tr>
    </w:tbl>
    <w:p w:rsidR="00F068AD" w:rsidRDefault="00CB63CD">
      <w:pPr>
        <w:pStyle w:val="3"/>
        <w:spacing w:line="280" w:lineRule="exact"/>
        <w:jc w:val="left"/>
        <w:rPr>
          <w:rFonts w:ascii="宋体" w:hAnsi="宋体" w:cs="宋体"/>
          <w:b/>
          <w:bCs/>
        </w:rPr>
      </w:pPr>
      <w:bookmarkStart w:id="216" w:name="_Toc989107"/>
      <w:r>
        <w:rPr>
          <w:rFonts w:ascii="宋体" w:hAnsi="宋体" w:cs="宋体"/>
          <w:b/>
          <w:bCs/>
        </w:rPr>
        <w:t>25、其他流动负债</w:t>
      </w:r>
      <w:bookmarkEnd w:id="216"/>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待转销项税金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8,013,134.57</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9,851,271.75</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1,000,000.00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1,000,000.00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9,013,134.57</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10,851,271.75</w:t>
            </w:r>
          </w:p>
        </w:tc>
      </w:tr>
    </w:tbl>
    <w:p w:rsidR="00F068AD" w:rsidRDefault="00CB63CD">
      <w:pPr>
        <w:pStyle w:val="3"/>
        <w:spacing w:line="280" w:lineRule="exact"/>
        <w:jc w:val="left"/>
        <w:rPr>
          <w:rFonts w:ascii="宋体" w:hAnsi="宋体" w:cs="宋体"/>
          <w:b/>
          <w:bCs/>
        </w:rPr>
      </w:pPr>
      <w:bookmarkStart w:id="217" w:name="_Toc989108"/>
      <w:r>
        <w:rPr>
          <w:rFonts w:ascii="宋体" w:hAnsi="宋体" w:cs="宋体"/>
          <w:b/>
          <w:bCs/>
        </w:rPr>
        <w:t>26、股本</w:t>
      </w:r>
      <w:bookmarkEnd w:id="217"/>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205"/>
        <w:gridCol w:w="1205"/>
        <w:gridCol w:w="1205"/>
        <w:gridCol w:w="1205"/>
        <w:gridCol w:w="1205"/>
      </w:tblGrid>
      <w:tr w:rsidR="00F068AD">
        <w:trPr>
          <w:trHeight w:val="240"/>
        </w:trPr>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6024"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本次变动增减（+、-）</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068AD">
        <w:trPr>
          <w:trHeight w:val="240"/>
        </w:trPr>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发行新股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送股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公积金转股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股份总数</w:t>
            </w: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886,012,887.00</w:t>
            </w:r>
          </w:p>
        </w:tc>
      </w:tr>
    </w:tbl>
    <w:p w:rsidR="00F068AD" w:rsidRDefault="00CB63CD">
      <w:pPr>
        <w:pStyle w:val="3"/>
        <w:spacing w:line="280" w:lineRule="exact"/>
        <w:jc w:val="left"/>
        <w:rPr>
          <w:rFonts w:ascii="宋体" w:hAnsi="宋体" w:cs="宋体"/>
          <w:b/>
          <w:bCs/>
        </w:rPr>
      </w:pPr>
      <w:bookmarkStart w:id="218" w:name="_Toc989109"/>
      <w:r>
        <w:rPr>
          <w:rFonts w:ascii="宋体" w:hAnsi="宋体" w:cs="宋体"/>
          <w:b/>
          <w:bCs/>
        </w:rPr>
        <w:t>27、资本公积</w:t>
      </w:r>
      <w:bookmarkEnd w:id="218"/>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资本溢价（股本溢价）</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486,316,312.81</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486,316,312.81</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其他资本公积</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7,283,061.97</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4,679,146.38</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11,962,208.35</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493,599,374.78</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4,679,146.38</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498,278,521.16</w:t>
            </w:r>
          </w:p>
        </w:tc>
      </w:tr>
    </w:tbl>
    <w:p w:rsidR="00F068AD" w:rsidRDefault="00CB63CD">
      <w:pPr>
        <w:pStyle w:val="3"/>
        <w:spacing w:line="280" w:lineRule="exact"/>
        <w:jc w:val="left"/>
        <w:rPr>
          <w:rFonts w:ascii="宋体" w:hAnsi="宋体" w:cs="宋体"/>
          <w:b/>
          <w:bCs/>
        </w:rPr>
      </w:pPr>
      <w:bookmarkStart w:id="219" w:name="_Toc989110"/>
      <w:r>
        <w:rPr>
          <w:rFonts w:ascii="宋体" w:hAnsi="宋体" w:cs="宋体"/>
          <w:b/>
          <w:bCs/>
        </w:rPr>
        <w:t>28、其他综合收益</w:t>
      </w:r>
      <w:bookmarkEnd w:id="219"/>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84"/>
        <w:gridCol w:w="1559"/>
        <w:gridCol w:w="1134"/>
        <w:gridCol w:w="993"/>
        <w:gridCol w:w="850"/>
        <w:gridCol w:w="709"/>
        <w:gridCol w:w="1134"/>
        <w:gridCol w:w="805"/>
        <w:gridCol w:w="1071"/>
      </w:tblGrid>
      <w:tr w:rsidR="00F068AD" w:rsidTr="00AA3396">
        <w:trPr>
          <w:trHeight w:val="240"/>
        </w:trPr>
        <w:tc>
          <w:tcPr>
            <w:tcW w:w="138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55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625"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068AD" w:rsidTr="00AA3396">
        <w:trPr>
          <w:trHeight w:val="240"/>
        </w:trPr>
        <w:tc>
          <w:tcPr>
            <w:tcW w:w="138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55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本期所得税前发生额</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减：前期计入其他综合收益当期转入损益</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减：前期计入其他综合收益当期转入留存收益</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减：所得税费用</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税后归属于母公司</w:t>
            </w:r>
          </w:p>
        </w:tc>
        <w:tc>
          <w:tcPr>
            <w:tcW w:w="805"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税后归属于少数股东</w:t>
            </w: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rsidTr="00AA339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一、不能重分类进损益的其他综合收益</w:t>
            </w:r>
          </w:p>
        </w:tc>
        <w:tc>
          <w:tcPr>
            <w:tcW w:w="155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5"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rsidTr="00AA339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二、将重分类进损益的其他综合收益</w:t>
            </w:r>
          </w:p>
        </w:tc>
        <w:tc>
          <w:tcPr>
            <w:tcW w:w="155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-229,378.59</w:t>
            </w:r>
          </w:p>
        </w:tc>
        <w:tc>
          <w:tcPr>
            <w:tcW w:w="113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8,260,411.24</w:t>
            </w:r>
          </w:p>
        </w:tc>
        <w:tc>
          <w:tcPr>
            <w:tcW w:w="99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8,260,411.24</w:t>
            </w:r>
          </w:p>
        </w:tc>
        <w:tc>
          <w:tcPr>
            <w:tcW w:w="805"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8,031,032.65</w:t>
            </w:r>
          </w:p>
        </w:tc>
      </w:tr>
      <w:tr w:rsidR="00F068AD" w:rsidTr="00AA339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AA3396">
            <w:pPr>
              <w:spacing w:before="40" w:after="40" w:line="240" w:lineRule="exact"/>
              <w:rPr>
                <w:rFonts w:ascii="宋体" w:eastAsia="宋体" w:hAnsi="宋体" w:cs="宋体"/>
                <w:sz w:val="18"/>
                <w:szCs w:val="18"/>
              </w:rPr>
            </w:pPr>
            <w:r>
              <w:rPr>
                <w:rFonts w:ascii="宋体" w:eastAsia="宋体" w:hAnsi="宋体" w:cs="宋体" w:hint="eastAsia"/>
                <w:sz w:val="18"/>
                <w:szCs w:val="18"/>
              </w:rPr>
              <w:t>其中：</w:t>
            </w:r>
            <w:r w:rsidRPr="00AA3396">
              <w:rPr>
                <w:rFonts w:ascii="宋体" w:eastAsia="宋体" w:hAnsi="宋体" w:cs="宋体" w:hint="eastAsia"/>
                <w:sz w:val="18"/>
                <w:szCs w:val="18"/>
              </w:rPr>
              <w:t>权益法下在被投资单位以后将重分类进损益的其他综合收益中享有的份额</w:t>
            </w:r>
          </w:p>
        </w:tc>
        <w:tc>
          <w:tcPr>
            <w:tcW w:w="155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-229,378.59</w:t>
            </w:r>
          </w:p>
        </w:tc>
        <w:tc>
          <w:tcPr>
            <w:tcW w:w="113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8,260,411.24</w:t>
            </w:r>
          </w:p>
        </w:tc>
        <w:tc>
          <w:tcPr>
            <w:tcW w:w="99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8,260,411.24</w:t>
            </w:r>
          </w:p>
        </w:tc>
        <w:tc>
          <w:tcPr>
            <w:tcW w:w="805"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8,031,032.65</w:t>
            </w:r>
          </w:p>
        </w:tc>
      </w:tr>
      <w:tr w:rsidR="00F068AD" w:rsidTr="00AA3396">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其他综合收益合计</w:t>
            </w:r>
          </w:p>
        </w:tc>
        <w:tc>
          <w:tcPr>
            <w:tcW w:w="1559"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-229,378.59</w:t>
            </w:r>
          </w:p>
        </w:tc>
        <w:tc>
          <w:tcPr>
            <w:tcW w:w="113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8,260,411.24</w:t>
            </w:r>
          </w:p>
        </w:tc>
        <w:tc>
          <w:tcPr>
            <w:tcW w:w="99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8,260,411.24</w:t>
            </w:r>
          </w:p>
        </w:tc>
        <w:tc>
          <w:tcPr>
            <w:tcW w:w="805"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8,031,032.65</w:t>
            </w:r>
          </w:p>
        </w:tc>
      </w:tr>
    </w:tbl>
    <w:p w:rsidR="00F068AD" w:rsidRDefault="00CB63CD">
      <w:pPr>
        <w:pStyle w:val="3"/>
        <w:spacing w:line="280" w:lineRule="exact"/>
        <w:jc w:val="left"/>
        <w:rPr>
          <w:rFonts w:ascii="宋体" w:hAnsi="宋体" w:cs="宋体"/>
          <w:b/>
          <w:bCs/>
        </w:rPr>
      </w:pPr>
      <w:bookmarkStart w:id="220" w:name="_Toc989111"/>
      <w:r>
        <w:rPr>
          <w:rFonts w:ascii="宋体" w:hAnsi="宋体" w:cs="宋体"/>
          <w:b/>
          <w:bCs/>
        </w:rPr>
        <w:t>29、盈余公积</w:t>
      </w:r>
      <w:bookmarkEnd w:id="220"/>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法定盈余公积</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413,197,242.85</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413,197,242.85</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413,197,242.85</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413,197,242.85</w:t>
            </w:r>
          </w:p>
        </w:tc>
      </w:tr>
    </w:tbl>
    <w:p w:rsidR="00F068AD" w:rsidRDefault="00CB63CD">
      <w:pPr>
        <w:pStyle w:val="3"/>
        <w:spacing w:line="280" w:lineRule="exact"/>
        <w:jc w:val="left"/>
        <w:rPr>
          <w:rFonts w:ascii="宋体" w:hAnsi="宋体" w:cs="宋体"/>
          <w:b/>
          <w:bCs/>
        </w:rPr>
      </w:pPr>
      <w:bookmarkStart w:id="221" w:name="_Toc989112"/>
      <w:r>
        <w:rPr>
          <w:rFonts w:ascii="宋体" w:hAnsi="宋体" w:cs="宋体"/>
          <w:b/>
          <w:bCs/>
        </w:rPr>
        <w:t>30、未分配利润</w:t>
      </w:r>
      <w:bookmarkEnd w:id="221"/>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上期</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调整前上期末未分配利润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3,213,863,569.43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2,948,920,099.00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调整后期初未分配利润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3,213,863,569.43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2,948,920,099.00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加：本期归属于母公司所有者的净利润</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98,728,051.07</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392,522,831.50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应付普通股股利</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44,300,644.35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44,300,644.35</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期末未分配利润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3,268,290,976.15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3,297,142,286.15</w:t>
            </w:r>
          </w:p>
        </w:tc>
      </w:tr>
    </w:tbl>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调整期初未分配利润明细：</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1)、由于《企业会计准则》及其相关新规定进行追溯调整，影响期初未分配利润0.00元。</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2)、由于会计政策变更，影响期初未分配利润0.00元。</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3)、由于重大会计差错更正，影响期初未分配利润0.00元。</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4)、由于同一控制导致的合并范围变更，影响期初未分配利润0.00元。</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5)、其他调整合计影响期初未分配利润0.00元。</w:t>
      </w:r>
    </w:p>
    <w:p w:rsidR="00F068AD" w:rsidRDefault="00CB63CD">
      <w:pPr>
        <w:pStyle w:val="3"/>
        <w:spacing w:line="280" w:lineRule="exact"/>
        <w:jc w:val="left"/>
        <w:rPr>
          <w:rFonts w:ascii="宋体" w:hAnsi="宋体" w:cs="宋体"/>
          <w:b/>
          <w:bCs/>
        </w:rPr>
      </w:pPr>
      <w:bookmarkStart w:id="222" w:name="_Toc989113"/>
      <w:r>
        <w:rPr>
          <w:rFonts w:ascii="宋体" w:hAnsi="宋体" w:cs="宋体"/>
          <w:b/>
          <w:bCs/>
        </w:rPr>
        <w:t>31、营业收入和营业成本</w:t>
      </w:r>
      <w:bookmarkEnd w:id="222"/>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F068AD">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068AD">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主营业务</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1,445,417,892.92</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1,338,937,856.08</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1,203,881,796.44</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1,020,965,601.16</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其他业务</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31,973,121.22</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29,898,190.43</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6,173,077.14</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7,047,574.10</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1,477,391,014.14</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1,368,836,046.51</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1,210,054,873.58</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1,028,013,175.26</w:t>
            </w:r>
          </w:p>
        </w:tc>
      </w:tr>
    </w:tbl>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收入相关信息：</w:t>
      </w:r>
    </w:p>
    <w:p w:rsidR="00F068AD" w:rsidRDefault="00CB63C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合同分类</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分部1</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分部2</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center"/>
              <w:rPr>
                <w:rFonts w:ascii="宋体" w:eastAsia="宋体" w:hAnsi="宋体" w:cs="宋体"/>
                <w:sz w:val="18"/>
                <w:szCs w:val="18"/>
              </w:rPr>
            </w:pPr>
            <w:r>
              <w:rPr>
                <w:rFonts w:ascii="宋体" w:eastAsia="宋体" w:hAnsi="宋体" w:cs="宋体"/>
                <w:sz w:val="18"/>
                <w:szCs w:val="18"/>
              </w:rPr>
              <w:t>本公司</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商品类型</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1,477,391,014.14</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1,477,391,014.14</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纺织品销售收入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1,339,062,142.41</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1,339,062,142.41</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码头仓储服务收入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106,355,750.51</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106,355,750.51</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管理费及其他收入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材料销售收入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31,973,121.22</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31,973,121.22</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按经营地区分类</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1,477,391,014.14</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1,477,391,014.14</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国内</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1,247,589,602.53</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1,247,589,602.53</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国外</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229,801,411.61</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229,801,411.61</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市场或客户类型</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合同类型</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按商品转让的时间分类</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按合同期限分类</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按销售渠道分类</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bl>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与履约义务相关的信息：</w:t>
      </w:r>
    </w:p>
    <w:p w:rsidR="00CB63CD" w:rsidRDefault="00CB63CD">
      <w:pPr>
        <w:pStyle w:val="a3"/>
        <w:spacing w:before="0" w:beforeAutospacing="0" w:after="0" w:afterAutospacing="0" w:line="360" w:lineRule="auto"/>
        <w:ind w:firstLine="360"/>
        <w:jc w:val="both"/>
        <w:divId w:val="277643241"/>
        <w:rPr>
          <w:rFonts w:ascii="Times New Roman" w:hAnsi="Times New Roman" w:cs="Times New Roman"/>
          <w:sz w:val="21"/>
          <w:szCs w:val="21"/>
        </w:rPr>
      </w:pPr>
      <w:r>
        <w:rPr>
          <w:rFonts w:cs="Times New Roman" w:hint="eastAsia"/>
          <w:sz w:val="18"/>
          <w:szCs w:val="18"/>
        </w:rPr>
        <w:t>本公司收入主要来源于销售商品和码头仓储服务，销售商品属于在某一时点履行履约义务。公司在满足下列条件时确认收入：</w:t>
      </w:r>
    </w:p>
    <w:p w:rsidR="00CB63CD" w:rsidRDefault="00CB63CD">
      <w:pPr>
        <w:pStyle w:val="a3"/>
        <w:spacing w:before="0" w:beforeAutospacing="0" w:after="0" w:afterAutospacing="0" w:line="360" w:lineRule="auto"/>
        <w:ind w:firstLine="360"/>
        <w:jc w:val="both"/>
        <w:divId w:val="277643241"/>
        <w:rPr>
          <w:rFonts w:ascii="Times New Roman" w:hAnsi="Times New Roman" w:cs="Times New Roman"/>
          <w:sz w:val="21"/>
          <w:szCs w:val="21"/>
        </w:rPr>
      </w:pPr>
      <w:r>
        <w:rPr>
          <w:rFonts w:cs="Times New Roman" w:hint="eastAsia"/>
          <w:sz w:val="18"/>
          <w:szCs w:val="18"/>
        </w:rPr>
        <w:t>购买方在确认接收商品后享有自行销售和使用产品的权利并承担该产品可能发生价格波动或毁损的风险。其中：</w:t>
      </w:r>
    </w:p>
    <w:p w:rsidR="00CB63CD" w:rsidRDefault="00CB63CD">
      <w:pPr>
        <w:pStyle w:val="a3"/>
        <w:spacing w:before="0" w:beforeAutospacing="0" w:after="0" w:afterAutospacing="0" w:line="360" w:lineRule="auto"/>
        <w:ind w:firstLine="480"/>
        <w:jc w:val="both"/>
        <w:divId w:val="277643241"/>
        <w:rPr>
          <w:rFonts w:ascii="Times New Roman" w:hAnsi="Times New Roman" w:cs="Times New Roman"/>
          <w:sz w:val="21"/>
          <w:szCs w:val="21"/>
        </w:rPr>
      </w:pPr>
      <w:r>
        <w:rPr>
          <w:rFonts w:cs="Times New Roman" w:hint="eastAsia"/>
          <w:sz w:val="18"/>
          <w:szCs w:val="18"/>
        </w:rPr>
        <w:t>①国内销售收入确认需满足以下条件：公司已根据合同约定将产品交付给客户且客户已接受该商品，已经收回货款或取得了收款权利的凭证等；</w:t>
      </w:r>
    </w:p>
    <w:p w:rsidR="00CB63CD" w:rsidRDefault="00CB63CD">
      <w:pPr>
        <w:pStyle w:val="a3"/>
        <w:spacing w:before="0" w:beforeAutospacing="0" w:after="0" w:afterAutospacing="0" w:line="360" w:lineRule="auto"/>
        <w:ind w:firstLine="480"/>
        <w:jc w:val="both"/>
        <w:divId w:val="277643241"/>
        <w:rPr>
          <w:rFonts w:ascii="Times New Roman" w:hAnsi="Times New Roman" w:cs="Times New Roman"/>
          <w:sz w:val="21"/>
          <w:szCs w:val="21"/>
        </w:rPr>
      </w:pPr>
      <w:r>
        <w:rPr>
          <w:rFonts w:cs="Times New Roman" w:hint="eastAsia"/>
          <w:sz w:val="18"/>
          <w:szCs w:val="18"/>
        </w:rPr>
        <w:t>②对于国外销售的产品，以产品发运、办理出口清关手续并取得报关单及货运提单时确认销售收入。</w:t>
      </w:r>
    </w:p>
    <w:p w:rsidR="00CB63CD" w:rsidRDefault="00CB63CD">
      <w:pPr>
        <w:pStyle w:val="a3"/>
        <w:spacing w:before="0" w:beforeAutospacing="0" w:after="0" w:afterAutospacing="0" w:line="360" w:lineRule="auto"/>
        <w:ind w:firstLine="360"/>
        <w:jc w:val="both"/>
        <w:divId w:val="277643241"/>
        <w:rPr>
          <w:sz w:val="21"/>
          <w:szCs w:val="21"/>
        </w:rPr>
      </w:pPr>
      <w:r>
        <w:rPr>
          <w:rFonts w:hint="eastAsia"/>
          <w:sz w:val="21"/>
          <w:szCs w:val="21"/>
        </w:rPr>
        <w:t> </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与分摊至剩余履约义务的交易价格相关的信息：</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本报告期末已签订合同、但尚未履行或尚未履行完毕的履约义务所对应的收入金额为171,205,859.74元，其中，171,205,859.74元预计将于2022年</w:t>
      </w:r>
      <w:r w:rsidR="00380F15">
        <w:rPr>
          <w:rFonts w:ascii="宋体" w:eastAsia="宋体" w:hAnsi="宋体" w:cs="宋体"/>
          <w:sz w:val="18"/>
          <w:szCs w:val="18"/>
        </w:rPr>
        <w:t>下半年</w:t>
      </w:r>
      <w:r>
        <w:rPr>
          <w:rFonts w:ascii="宋体" w:eastAsia="宋体" w:hAnsi="宋体" w:cs="宋体"/>
          <w:sz w:val="18"/>
          <w:szCs w:val="18"/>
        </w:rPr>
        <w:t>度确认收入。</w:t>
      </w:r>
    </w:p>
    <w:p w:rsidR="00CB63CD" w:rsidRDefault="00CB63CD">
      <w:pPr>
        <w:spacing w:before="100" w:beforeAutospacing="1" w:after="100" w:afterAutospacing="1"/>
        <w:ind w:firstLine="360"/>
        <w:divId w:val="1884904832"/>
      </w:pPr>
      <w:r>
        <w:rPr>
          <w:rFonts w:hint="eastAsia"/>
          <w:sz w:val="18"/>
          <w:szCs w:val="18"/>
        </w:rPr>
        <w:t>前五名客户的营业收入情况：</w:t>
      </w:r>
      <w:r w:rsidR="00A64DD4">
        <w:rPr>
          <w:rFonts w:hint="eastAsia"/>
          <w:sz w:val="18"/>
          <w:szCs w:val="18"/>
        </w:rPr>
        <w:t xml:space="preserve">                                                                                                                                   </w:t>
      </w:r>
      <w:r w:rsidR="00A64DD4">
        <w:rPr>
          <w:rFonts w:hint="eastAsia"/>
          <w:sz w:val="18"/>
          <w:szCs w:val="18"/>
        </w:rPr>
        <w:t>单位：元</w:t>
      </w:r>
    </w:p>
    <w:tbl>
      <w:tblPr>
        <w:tblW w:w="4881" w:type="pct"/>
        <w:tblCellMar>
          <w:left w:w="0" w:type="dxa"/>
          <w:right w:w="0" w:type="dxa"/>
        </w:tblCellMar>
        <w:tblLook w:val="04A0" w:firstRow="1" w:lastRow="0" w:firstColumn="1" w:lastColumn="0" w:noHBand="0" w:noVBand="1"/>
      </w:tblPr>
      <w:tblGrid>
        <w:gridCol w:w="3206"/>
        <w:gridCol w:w="3205"/>
        <w:gridCol w:w="3207"/>
      </w:tblGrid>
      <w:tr w:rsidR="00CB63CD">
        <w:trPr>
          <w:divId w:val="1884904832"/>
          <w:trHeight w:val="340"/>
        </w:trPr>
        <w:tc>
          <w:tcPr>
            <w:tcW w:w="16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ind w:right="31"/>
              <w:jc w:val="center"/>
              <w:rPr>
                <w:rFonts w:ascii="Times New Roman" w:hAnsi="Times New Roman" w:cs="Times New Roman"/>
                <w:sz w:val="21"/>
                <w:szCs w:val="21"/>
              </w:rPr>
            </w:pPr>
            <w:r>
              <w:rPr>
                <w:rFonts w:cs="Times New Roman" w:hint="eastAsia"/>
                <w:sz w:val="18"/>
                <w:szCs w:val="18"/>
              </w:rPr>
              <w:t>项   目</w:t>
            </w:r>
          </w:p>
        </w:tc>
        <w:tc>
          <w:tcPr>
            <w:tcW w:w="166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ind w:right="31"/>
              <w:jc w:val="center"/>
              <w:rPr>
                <w:rFonts w:ascii="Times New Roman" w:hAnsi="Times New Roman" w:cs="Times New Roman"/>
                <w:sz w:val="21"/>
                <w:szCs w:val="21"/>
              </w:rPr>
            </w:pPr>
            <w:r>
              <w:rPr>
                <w:rFonts w:cs="Times New Roman" w:hint="eastAsia"/>
                <w:sz w:val="18"/>
                <w:szCs w:val="18"/>
              </w:rPr>
              <w:t>本期发生额</w:t>
            </w:r>
          </w:p>
        </w:tc>
        <w:tc>
          <w:tcPr>
            <w:tcW w:w="16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ind w:right="31"/>
              <w:jc w:val="center"/>
              <w:rPr>
                <w:rFonts w:ascii="Times New Roman" w:hAnsi="Times New Roman" w:cs="Times New Roman"/>
                <w:sz w:val="21"/>
                <w:szCs w:val="21"/>
              </w:rPr>
            </w:pPr>
            <w:r>
              <w:rPr>
                <w:rFonts w:cs="Times New Roman" w:hint="eastAsia"/>
                <w:sz w:val="18"/>
                <w:szCs w:val="18"/>
              </w:rPr>
              <w:t>上期发生额</w:t>
            </w:r>
          </w:p>
        </w:tc>
      </w:tr>
      <w:tr w:rsidR="00CB63CD">
        <w:trPr>
          <w:divId w:val="1884904832"/>
          <w:trHeight w:val="340"/>
        </w:trPr>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ind w:right="31"/>
              <w:rPr>
                <w:rFonts w:ascii="Times New Roman" w:hAnsi="Times New Roman" w:cs="Times New Roman"/>
                <w:sz w:val="21"/>
                <w:szCs w:val="21"/>
              </w:rPr>
            </w:pPr>
            <w:r>
              <w:rPr>
                <w:rFonts w:cs="Times New Roman" w:hint="eastAsia"/>
                <w:sz w:val="18"/>
                <w:szCs w:val="18"/>
              </w:rPr>
              <w:t>销售前五名客户收入总额</w:t>
            </w:r>
          </w:p>
        </w:tc>
        <w:tc>
          <w:tcPr>
            <w:tcW w:w="16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381,244,053.15</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241,933,435.87</w:t>
            </w:r>
          </w:p>
        </w:tc>
      </w:tr>
      <w:tr w:rsidR="00CB63CD">
        <w:trPr>
          <w:divId w:val="1884904832"/>
          <w:trHeight w:val="340"/>
        </w:trPr>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ind w:right="31"/>
              <w:rPr>
                <w:rFonts w:ascii="Times New Roman" w:hAnsi="Times New Roman" w:cs="Times New Roman"/>
                <w:sz w:val="21"/>
                <w:szCs w:val="21"/>
              </w:rPr>
            </w:pPr>
            <w:r>
              <w:rPr>
                <w:rFonts w:cs="Times New Roman" w:hint="eastAsia"/>
                <w:sz w:val="18"/>
                <w:szCs w:val="18"/>
              </w:rPr>
              <w:t>占营业收入总额的比例</w:t>
            </w:r>
          </w:p>
        </w:tc>
        <w:tc>
          <w:tcPr>
            <w:tcW w:w="16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25.81%</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19.99%</w:t>
            </w:r>
          </w:p>
        </w:tc>
      </w:tr>
    </w:tbl>
    <w:p w:rsidR="00CB63CD" w:rsidRDefault="00CB63CD">
      <w:pPr>
        <w:divId w:val="1884904832"/>
        <w:rPr>
          <w:sz w:val="24"/>
          <w:szCs w:val="24"/>
        </w:rPr>
      </w:pPr>
    </w:p>
    <w:p w:rsidR="00F068AD" w:rsidRDefault="00CB63CD">
      <w:pPr>
        <w:pStyle w:val="3"/>
        <w:spacing w:line="280" w:lineRule="exact"/>
        <w:jc w:val="left"/>
        <w:rPr>
          <w:rFonts w:ascii="宋体" w:hAnsi="宋体" w:cs="宋体"/>
          <w:b/>
          <w:bCs/>
        </w:rPr>
      </w:pPr>
      <w:bookmarkStart w:id="223" w:name="_Toc989114"/>
      <w:r>
        <w:rPr>
          <w:rFonts w:ascii="宋体" w:hAnsi="宋体" w:cs="宋体"/>
          <w:b/>
          <w:bCs/>
        </w:rPr>
        <w:t>32、税金及附加</w:t>
      </w:r>
      <w:bookmarkEnd w:id="223"/>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1,178,336.93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2,093,881.38</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1,078,193.48</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2,002,522.92</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1,139,281.77</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1,047,235.00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214,926.60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214,926.60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印花税</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519,579.60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457,178.68</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57,195.92</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6,480.00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4,187,514.30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5,822,224.58</w:t>
            </w:r>
          </w:p>
        </w:tc>
      </w:tr>
    </w:tbl>
    <w:p w:rsidR="00CB63CD" w:rsidRDefault="00CB63CD">
      <w:pPr>
        <w:divId w:val="299194357"/>
        <w:rPr>
          <w:sz w:val="18"/>
          <w:szCs w:val="18"/>
        </w:rPr>
      </w:pPr>
    </w:p>
    <w:p w:rsidR="00F068AD" w:rsidRDefault="00CB63CD">
      <w:pPr>
        <w:pStyle w:val="3"/>
        <w:spacing w:line="280" w:lineRule="exact"/>
        <w:jc w:val="left"/>
        <w:rPr>
          <w:rFonts w:ascii="宋体" w:hAnsi="宋体" w:cs="宋体"/>
          <w:b/>
          <w:bCs/>
        </w:rPr>
      </w:pPr>
      <w:bookmarkStart w:id="224" w:name="_Toc989115"/>
      <w:r>
        <w:rPr>
          <w:rFonts w:ascii="宋体" w:hAnsi="宋体" w:cs="宋体"/>
          <w:b/>
          <w:bCs/>
        </w:rPr>
        <w:t>33、销售费用</w:t>
      </w:r>
      <w:bookmarkEnd w:id="224"/>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510,000.00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368,631.53</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销售业务费</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814,563.73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保险费</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327,741.70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373,351.18</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其他费用</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12,161.01</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27,439.49</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1,664,466.44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769,422.20</w:t>
            </w:r>
          </w:p>
        </w:tc>
      </w:tr>
    </w:tbl>
    <w:p w:rsidR="00F068AD" w:rsidRDefault="00CB63CD">
      <w:pPr>
        <w:pStyle w:val="3"/>
        <w:spacing w:line="280" w:lineRule="exact"/>
        <w:jc w:val="left"/>
        <w:rPr>
          <w:rFonts w:ascii="宋体" w:hAnsi="宋体" w:cs="宋体"/>
          <w:b/>
          <w:bCs/>
        </w:rPr>
      </w:pPr>
      <w:bookmarkStart w:id="225" w:name="_Toc989116"/>
      <w:r>
        <w:rPr>
          <w:rFonts w:ascii="宋体" w:hAnsi="宋体" w:cs="宋体"/>
          <w:b/>
          <w:bCs/>
        </w:rPr>
        <w:t>34、管理费用</w:t>
      </w:r>
      <w:bookmarkEnd w:id="225"/>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12,873,551.94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10,591,058.99</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差旅费</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172,579.21</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710,983.97</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办公费</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827,028.46</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3,287,373.97</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房屋租赁费</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604,057.30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159,460.15</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业务招待费</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4,194,371.35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5,531,059.78</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咨询费</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1,024,069.69</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546,523.97</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中介代理费</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14,064.36</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32,643.65</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律师费和诉讼费</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166,037.74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16,981.13</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保险费</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534,785.91</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633,485.57</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审计费</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1,698,113.21</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1,698,113.22</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土地使用费</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2,332,926.45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35,560.15</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其他费用</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2,990,104.04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2,252,488.67</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27,431,689.66</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25,495,733.22</w:t>
            </w:r>
          </w:p>
        </w:tc>
      </w:tr>
    </w:tbl>
    <w:p w:rsidR="00F068AD" w:rsidRDefault="00CB63CD">
      <w:pPr>
        <w:pStyle w:val="3"/>
        <w:spacing w:line="280" w:lineRule="exact"/>
        <w:jc w:val="left"/>
        <w:rPr>
          <w:rFonts w:ascii="宋体" w:hAnsi="宋体" w:cs="宋体"/>
          <w:b/>
          <w:bCs/>
        </w:rPr>
      </w:pPr>
      <w:bookmarkStart w:id="226" w:name="_Toc989117"/>
      <w:r>
        <w:rPr>
          <w:rFonts w:ascii="宋体" w:hAnsi="宋体" w:cs="宋体"/>
          <w:b/>
          <w:bCs/>
        </w:rPr>
        <w:t>35、研发费用</w:t>
      </w:r>
      <w:bookmarkEnd w:id="226"/>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人员费用</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3,309,600.00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3,195,000.00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材料、动力等直接投入</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1,049,298.81</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1,472,895.83</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长期资产摊销</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334,239.54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其他费用</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59,411.31</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467,580.65</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4,752,549.66</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5,135,476.48</w:t>
            </w:r>
          </w:p>
        </w:tc>
      </w:tr>
    </w:tbl>
    <w:p w:rsidR="00F068AD" w:rsidRDefault="00CB63CD">
      <w:pPr>
        <w:pStyle w:val="3"/>
        <w:spacing w:line="280" w:lineRule="exact"/>
        <w:jc w:val="left"/>
        <w:rPr>
          <w:rFonts w:ascii="宋体" w:hAnsi="宋体" w:cs="宋体"/>
          <w:b/>
          <w:bCs/>
        </w:rPr>
      </w:pPr>
      <w:bookmarkStart w:id="227" w:name="_Toc989118"/>
      <w:r>
        <w:rPr>
          <w:rFonts w:ascii="宋体" w:hAnsi="宋体" w:cs="宋体"/>
          <w:b/>
          <w:bCs/>
        </w:rPr>
        <w:t>36、财务费用</w:t>
      </w:r>
      <w:bookmarkEnd w:id="227"/>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23,741,751.29</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71,871,603.45</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其中：银行等金融机构借款利息</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23,741,751.29</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71,871,603.45</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减：利息收入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2,232,665.77</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8,331,146.57</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汇兑损失</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-11,660,789.13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1,915,506.55</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金融机构手续费</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1,713,402.15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2,022,175.26</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11,561,698.54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67,478,138.69</w:t>
            </w:r>
          </w:p>
        </w:tc>
      </w:tr>
    </w:tbl>
    <w:p w:rsidR="00CB63CD" w:rsidRDefault="00CB63CD">
      <w:pPr>
        <w:divId w:val="1266039156"/>
        <w:rPr>
          <w:sz w:val="18"/>
          <w:szCs w:val="18"/>
        </w:rPr>
      </w:pPr>
    </w:p>
    <w:p w:rsidR="00F068AD" w:rsidRDefault="00CB63CD">
      <w:pPr>
        <w:pStyle w:val="3"/>
        <w:spacing w:line="280" w:lineRule="exact"/>
        <w:jc w:val="left"/>
        <w:rPr>
          <w:rFonts w:ascii="宋体" w:hAnsi="宋体" w:cs="宋体"/>
          <w:b/>
          <w:bCs/>
        </w:rPr>
      </w:pPr>
      <w:bookmarkStart w:id="228" w:name="_Toc989119"/>
      <w:r>
        <w:rPr>
          <w:rFonts w:ascii="宋体" w:hAnsi="宋体" w:cs="宋体"/>
          <w:b/>
          <w:bCs/>
        </w:rPr>
        <w:t>37、其他收益</w:t>
      </w:r>
      <w:bookmarkEnd w:id="228"/>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产生其他收益的来源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开发扶持资金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743,351.68</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200,000.00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工业和信息化专项资金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500,000.00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稳产稳岗补贴</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482,117.00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其他零星补助</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69,662.48</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58,800.10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合 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1,295,131.16</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758,800.10</w:t>
            </w:r>
          </w:p>
        </w:tc>
      </w:tr>
    </w:tbl>
    <w:p w:rsidR="00F068AD" w:rsidRDefault="00CB63CD">
      <w:pPr>
        <w:pStyle w:val="3"/>
        <w:spacing w:line="280" w:lineRule="exact"/>
        <w:jc w:val="left"/>
        <w:rPr>
          <w:rFonts w:ascii="宋体" w:hAnsi="宋体" w:cs="宋体"/>
          <w:b/>
          <w:bCs/>
        </w:rPr>
      </w:pPr>
      <w:bookmarkStart w:id="229" w:name="_Toc989120"/>
      <w:r>
        <w:rPr>
          <w:rFonts w:ascii="宋体" w:hAnsi="宋体" w:cs="宋体"/>
          <w:b/>
          <w:bCs/>
        </w:rPr>
        <w:t>38、投资收益</w:t>
      </w:r>
      <w:bookmarkEnd w:id="229"/>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权益法核算的长期股权投资收益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36,101,101.16</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7,256,093.92</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交易性金融资产在持有期间的投资收益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27,499,552.00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70,836,163.50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处置交易性金融资产取得的投资收益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17,303,893.06</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100,429,948.24</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80,904,546.22</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178,522,205.66</w:t>
            </w:r>
          </w:p>
        </w:tc>
      </w:tr>
    </w:tbl>
    <w:p w:rsidR="00F068AD" w:rsidRDefault="00CB63CD">
      <w:pPr>
        <w:pStyle w:val="3"/>
        <w:spacing w:line="280" w:lineRule="exact"/>
        <w:jc w:val="left"/>
        <w:rPr>
          <w:rFonts w:ascii="宋体" w:hAnsi="宋体" w:cs="宋体"/>
          <w:b/>
          <w:bCs/>
        </w:rPr>
      </w:pPr>
      <w:bookmarkStart w:id="230" w:name="_Toc989121"/>
      <w:r>
        <w:rPr>
          <w:rFonts w:ascii="宋体" w:hAnsi="宋体" w:cs="宋体"/>
          <w:b/>
          <w:bCs/>
        </w:rPr>
        <w:t>39、公允价值变动收益</w:t>
      </w:r>
      <w:bookmarkEnd w:id="230"/>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产生公允价值变动收益的来源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-7,728,357.75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251,213,439.66</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-7,728,357.75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251,213,439.66</w:t>
            </w:r>
          </w:p>
        </w:tc>
      </w:tr>
    </w:tbl>
    <w:p w:rsidR="00F068AD" w:rsidRDefault="00CB63CD">
      <w:pPr>
        <w:pStyle w:val="3"/>
        <w:spacing w:line="280" w:lineRule="exact"/>
        <w:jc w:val="left"/>
        <w:rPr>
          <w:rFonts w:ascii="宋体" w:hAnsi="宋体" w:cs="宋体"/>
          <w:b/>
          <w:bCs/>
        </w:rPr>
      </w:pPr>
      <w:bookmarkStart w:id="231" w:name="_Toc989122"/>
      <w:r>
        <w:rPr>
          <w:rFonts w:ascii="宋体" w:hAnsi="宋体" w:cs="宋体"/>
          <w:b/>
          <w:bCs/>
        </w:rPr>
        <w:t>40、信用减值损失</w:t>
      </w:r>
      <w:bookmarkEnd w:id="231"/>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其他应收款坏账损失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-37,726.22</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6,571,240.51</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应收账款坏账损失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-3,492,244.88</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-3,125,924.50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-3,529,971.10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3,445,316.01</w:t>
            </w:r>
          </w:p>
        </w:tc>
      </w:tr>
    </w:tbl>
    <w:p w:rsidR="00F068AD" w:rsidRDefault="00CB63CD">
      <w:pPr>
        <w:pStyle w:val="3"/>
        <w:spacing w:line="280" w:lineRule="exact"/>
        <w:jc w:val="left"/>
        <w:rPr>
          <w:rFonts w:ascii="宋体" w:hAnsi="宋体" w:cs="宋体"/>
          <w:b/>
          <w:bCs/>
        </w:rPr>
      </w:pPr>
      <w:bookmarkStart w:id="232" w:name="_Toc989123"/>
      <w:r>
        <w:rPr>
          <w:rFonts w:ascii="宋体" w:hAnsi="宋体" w:cs="宋体"/>
          <w:b/>
          <w:bCs/>
        </w:rPr>
        <w:t>41、资产减值损失</w:t>
      </w:r>
      <w:bookmarkEnd w:id="232"/>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一、坏账损失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二、存货跌价损失及合同履约成本减值损失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-57,593.64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-57,593.64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bl>
    <w:p w:rsidR="00F068AD" w:rsidRDefault="00CB63CD">
      <w:pPr>
        <w:pStyle w:val="3"/>
        <w:spacing w:line="280" w:lineRule="exact"/>
        <w:jc w:val="left"/>
        <w:rPr>
          <w:rFonts w:ascii="宋体" w:hAnsi="宋体" w:cs="宋体"/>
          <w:b/>
          <w:bCs/>
        </w:rPr>
      </w:pPr>
      <w:bookmarkStart w:id="233" w:name="_Toc989124"/>
      <w:r>
        <w:rPr>
          <w:rFonts w:ascii="宋体" w:hAnsi="宋体" w:cs="宋体"/>
          <w:b/>
          <w:bCs/>
        </w:rPr>
        <w:t>42、营业外收入</w:t>
      </w:r>
      <w:bookmarkEnd w:id="233"/>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计入当期非经常性损益的金额</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补偿金</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226,700.00</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180,000.00</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226,700.00</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lastRenderedPageBreak/>
              <w:t>其他</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0.40</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226,700.00</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180,000.40</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226,700.00</w:t>
            </w:r>
          </w:p>
        </w:tc>
      </w:tr>
    </w:tbl>
    <w:p w:rsidR="00F068AD" w:rsidRDefault="00CB63CD">
      <w:pPr>
        <w:pStyle w:val="3"/>
        <w:spacing w:line="280" w:lineRule="exact"/>
        <w:jc w:val="left"/>
        <w:rPr>
          <w:rFonts w:ascii="宋体" w:hAnsi="宋体" w:cs="宋体"/>
          <w:b/>
          <w:bCs/>
        </w:rPr>
      </w:pPr>
      <w:bookmarkStart w:id="234" w:name="_Toc989125"/>
      <w:r>
        <w:rPr>
          <w:rFonts w:ascii="宋体" w:hAnsi="宋体" w:cs="宋体"/>
          <w:b/>
          <w:bCs/>
        </w:rPr>
        <w:t>43、营业外支出</w:t>
      </w:r>
      <w:bookmarkEnd w:id="234"/>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计入当期非经常性损益的金额</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对外捐赠</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600,000.00</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100,000.00</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600,000.00</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固定资产报废损失</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4,582.53</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4,582.53</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各项罚款违约支出</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602.21</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10.05</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602.21</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20,949.14</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20,949.14</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626,133.88</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100,010.05</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626,133.88</w:t>
            </w:r>
          </w:p>
        </w:tc>
      </w:tr>
    </w:tbl>
    <w:p w:rsidR="00F068AD" w:rsidRDefault="00CB63CD">
      <w:pPr>
        <w:pStyle w:val="3"/>
        <w:spacing w:line="280" w:lineRule="exact"/>
        <w:jc w:val="left"/>
        <w:rPr>
          <w:rFonts w:ascii="宋体" w:hAnsi="宋体" w:cs="宋体"/>
          <w:b/>
          <w:bCs/>
        </w:rPr>
      </w:pPr>
      <w:bookmarkStart w:id="235" w:name="_Toc989126"/>
      <w:r>
        <w:rPr>
          <w:rFonts w:ascii="宋体" w:hAnsi="宋体" w:cs="宋体"/>
          <w:b/>
          <w:bCs/>
        </w:rPr>
        <w:t>44、所得税费用</w:t>
      </w:r>
      <w:bookmarkEnd w:id="235"/>
    </w:p>
    <w:p w:rsidR="00F068AD" w:rsidRDefault="00CB63CD">
      <w:pPr>
        <w:keepNext/>
        <w:keepLines/>
        <w:spacing w:before="300" w:after="300" w:line="280" w:lineRule="exact"/>
        <w:outlineLvl w:val="3"/>
        <w:rPr>
          <w:rFonts w:ascii="宋体" w:eastAsia="宋体" w:hAnsi="宋体" w:cs="宋体"/>
          <w:b/>
          <w:bCs/>
          <w:szCs w:val="21"/>
        </w:rPr>
      </w:pPr>
      <w:bookmarkStart w:id="236" w:name="_Toc989127"/>
      <w:r>
        <w:rPr>
          <w:rFonts w:ascii="宋体" w:eastAsia="宋体" w:hAnsi="宋体" w:cs="宋体"/>
          <w:b/>
          <w:bCs/>
          <w:szCs w:val="21"/>
        </w:rPr>
        <w:t>（1） 所得税费用表</w:t>
      </w:r>
      <w:bookmarkEnd w:id="236"/>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当期所得税费用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28,994,932.06</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45,614,856.03</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递延所得税费用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-10,551,342.94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60,976,060.19</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18,443,589.12</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106,590,916.22</w:t>
            </w:r>
          </w:p>
        </w:tc>
      </w:tr>
    </w:tbl>
    <w:p w:rsidR="00F068AD" w:rsidRDefault="00CB63CD">
      <w:pPr>
        <w:keepNext/>
        <w:keepLines/>
        <w:spacing w:before="300" w:after="300" w:line="280" w:lineRule="exact"/>
        <w:outlineLvl w:val="3"/>
        <w:rPr>
          <w:rFonts w:ascii="宋体" w:eastAsia="宋体" w:hAnsi="宋体" w:cs="宋体"/>
          <w:b/>
          <w:bCs/>
          <w:szCs w:val="21"/>
        </w:rPr>
      </w:pPr>
      <w:bookmarkStart w:id="237" w:name="_Toc989128"/>
      <w:r>
        <w:rPr>
          <w:rFonts w:ascii="宋体" w:eastAsia="宋体" w:hAnsi="宋体" w:cs="宋体"/>
          <w:b/>
          <w:bCs/>
          <w:szCs w:val="21"/>
        </w:rPr>
        <w:t>（2） 会计利润与所得税费用调整过程</w:t>
      </w:r>
      <w:bookmarkEnd w:id="237"/>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利润总额</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129,441,370.04</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按法定/适用税率计算的所得税费用</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32,360,342.51</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调整以前期间所得税的影响</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1,418,165.73</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非应税收入的影响</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-15,900,163.29</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不可抵扣的成本、费用和损失的影响</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537,025.62</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本期未确认递延所得税资产的可抵扣暂时性差异或可抵扣亏损的影响</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28,218.55</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所得税费用</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18,443,589.12</w:t>
            </w:r>
          </w:p>
        </w:tc>
      </w:tr>
    </w:tbl>
    <w:p w:rsidR="00F068AD" w:rsidRDefault="00CB63CD">
      <w:pPr>
        <w:pStyle w:val="3"/>
        <w:spacing w:line="280" w:lineRule="exact"/>
        <w:jc w:val="left"/>
        <w:rPr>
          <w:rFonts w:ascii="宋体" w:hAnsi="宋体" w:cs="宋体"/>
          <w:b/>
          <w:bCs/>
        </w:rPr>
      </w:pPr>
      <w:bookmarkStart w:id="238" w:name="_Toc989129"/>
      <w:r>
        <w:rPr>
          <w:rFonts w:ascii="宋体" w:hAnsi="宋体" w:cs="宋体"/>
          <w:b/>
          <w:bCs/>
        </w:rPr>
        <w:t>45、现金流量表项目</w:t>
      </w:r>
      <w:bookmarkEnd w:id="238"/>
    </w:p>
    <w:p w:rsidR="00F068AD" w:rsidRDefault="00CB63CD">
      <w:pPr>
        <w:keepNext/>
        <w:keepLines/>
        <w:spacing w:before="300" w:after="300" w:line="280" w:lineRule="exact"/>
        <w:outlineLvl w:val="3"/>
        <w:rPr>
          <w:rFonts w:ascii="宋体" w:eastAsia="宋体" w:hAnsi="宋体" w:cs="宋体"/>
          <w:b/>
          <w:bCs/>
          <w:szCs w:val="21"/>
        </w:rPr>
      </w:pPr>
      <w:bookmarkStart w:id="239" w:name="_Toc989130"/>
      <w:r>
        <w:rPr>
          <w:rFonts w:ascii="宋体" w:eastAsia="宋体" w:hAnsi="宋体" w:cs="宋体"/>
          <w:b/>
          <w:bCs/>
          <w:szCs w:val="21"/>
        </w:rPr>
        <w:t>（1） 收到的其他与经营活动有关的现金</w:t>
      </w:r>
      <w:bookmarkEnd w:id="239"/>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收到的利息收入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2,232,665.77</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7,210,231.60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收到的其他暂收暂付款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31,500,000.00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340,875.04</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2,945,859.57</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3,823,350.14</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36,678,525.34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11,374,456.78</w:t>
            </w:r>
          </w:p>
        </w:tc>
      </w:tr>
    </w:tbl>
    <w:p w:rsidR="00F068AD" w:rsidRDefault="00CB63CD">
      <w:pPr>
        <w:keepNext/>
        <w:keepLines/>
        <w:spacing w:before="300" w:after="300" w:line="280" w:lineRule="exact"/>
        <w:outlineLvl w:val="3"/>
        <w:rPr>
          <w:rFonts w:ascii="宋体" w:eastAsia="宋体" w:hAnsi="宋体" w:cs="宋体"/>
          <w:b/>
          <w:bCs/>
          <w:szCs w:val="21"/>
        </w:rPr>
      </w:pPr>
      <w:bookmarkStart w:id="240" w:name="_Toc989131"/>
      <w:r>
        <w:rPr>
          <w:rFonts w:ascii="宋体" w:eastAsia="宋体" w:hAnsi="宋体" w:cs="宋体"/>
          <w:b/>
          <w:bCs/>
          <w:szCs w:val="21"/>
        </w:rPr>
        <w:lastRenderedPageBreak/>
        <w:t>（2） 支付的其他与经营活动有关的现金</w:t>
      </w:r>
      <w:bookmarkEnd w:id="240"/>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直接支付的期间费用</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13,607,732.83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13,877,272.94</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支付的银行手续费</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1,713,402.15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2,022,175.26</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支付的往来款等</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30,786,041.51</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5,680,074.72</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621,544.21</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100,010.05</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46,728,720.70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21,679,532.97</w:t>
            </w:r>
          </w:p>
        </w:tc>
      </w:tr>
    </w:tbl>
    <w:p w:rsidR="00F068AD" w:rsidRDefault="00CB63CD">
      <w:pPr>
        <w:keepNext/>
        <w:keepLines/>
        <w:spacing w:before="300" w:after="300" w:line="280" w:lineRule="exact"/>
        <w:outlineLvl w:val="3"/>
        <w:rPr>
          <w:rFonts w:ascii="宋体" w:eastAsia="宋体" w:hAnsi="宋体" w:cs="宋体"/>
          <w:b/>
          <w:bCs/>
          <w:szCs w:val="21"/>
        </w:rPr>
      </w:pPr>
      <w:bookmarkStart w:id="241" w:name="_Toc989132"/>
      <w:r>
        <w:rPr>
          <w:rFonts w:ascii="宋体" w:eastAsia="宋体" w:hAnsi="宋体" w:cs="宋体"/>
          <w:b/>
          <w:bCs/>
          <w:szCs w:val="21"/>
        </w:rPr>
        <w:t>（3） 收到的其他与投资活动有关的现金</w:t>
      </w:r>
      <w:bookmarkEnd w:id="241"/>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收回孳息款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25,000,000.00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交易保证金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85,266,094.54</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25,000,000.00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85,266,094.54</w:t>
            </w:r>
          </w:p>
        </w:tc>
      </w:tr>
    </w:tbl>
    <w:p w:rsidR="00F068AD" w:rsidRDefault="00CB63CD">
      <w:pPr>
        <w:keepNext/>
        <w:keepLines/>
        <w:spacing w:before="300" w:after="300" w:line="280" w:lineRule="exact"/>
        <w:outlineLvl w:val="3"/>
        <w:rPr>
          <w:rFonts w:ascii="宋体" w:eastAsia="宋体" w:hAnsi="宋体" w:cs="宋体"/>
          <w:b/>
          <w:bCs/>
          <w:szCs w:val="21"/>
        </w:rPr>
      </w:pPr>
      <w:bookmarkStart w:id="242" w:name="_Toc989133"/>
      <w:r>
        <w:rPr>
          <w:rFonts w:ascii="宋体" w:eastAsia="宋体" w:hAnsi="宋体" w:cs="宋体"/>
          <w:b/>
          <w:bCs/>
          <w:szCs w:val="21"/>
        </w:rPr>
        <w:t>（4） 支付的其他与筹资活动有关的现金</w:t>
      </w:r>
      <w:bookmarkEnd w:id="242"/>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售后回租款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43,999,869.79</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借款保证金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129,500,000.00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67,803,529.94</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129,500,000.00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111,803,399.73</w:t>
            </w:r>
          </w:p>
        </w:tc>
      </w:tr>
    </w:tbl>
    <w:p w:rsidR="00F068AD" w:rsidRDefault="00CB63CD">
      <w:pPr>
        <w:pStyle w:val="3"/>
        <w:spacing w:line="280" w:lineRule="exact"/>
        <w:jc w:val="left"/>
        <w:rPr>
          <w:rFonts w:ascii="宋体" w:hAnsi="宋体" w:cs="宋体"/>
          <w:b/>
          <w:bCs/>
        </w:rPr>
      </w:pPr>
      <w:bookmarkStart w:id="243" w:name="_Toc989134"/>
      <w:r>
        <w:rPr>
          <w:rFonts w:ascii="宋体" w:hAnsi="宋体" w:cs="宋体"/>
          <w:b/>
          <w:bCs/>
        </w:rPr>
        <w:t>46、现金流量表补充资料</w:t>
      </w:r>
      <w:bookmarkEnd w:id="243"/>
    </w:p>
    <w:p w:rsidR="00F068AD" w:rsidRDefault="00CB63CD">
      <w:pPr>
        <w:keepNext/>
        <w:keepLines/>
        <w:spacing w:before="300" w:after="300" w:line="280" w:lineRule="exact"/>
        <w:outlineLvl w:val="3"/>
        <w:rPr>
          <w:rFonts w:ascii="宋体" w:eastAsia="宋体" w:hAnsi="宋体" w:cs="宋体"/>
          <w:b/>
          <w:bCs/>
          <w:szCs w:val="21"/>
        </w:rPr>
      </w:pPr>
      <w:bookmarkStart w:id="244" w:name="_Toc989135"/>
      <w:r>
        <w:rPr>
          <w:rFonts w:ascii="宋体" w:eastAsia="宋体" w:hAnsi="宋体" w:cs="宋体"/>
          <w:b/>
          <w:bCs/>
          <w:szCs w:val="21"/>
        </w:rPr>
        <w:t>（1） 现金流量表补充资料</w:t>
      </w:r>
      <w:bookmarkEnd w:id="244"/>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补充资料</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上期金额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1．将净利润调节为经营活动现金流量：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净利润</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110,997,780.92</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404,769,538.71</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加：资产减值准备</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57,593.64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固定资产折旧、油气资产折耗、生产性生物资产折旧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21,869,326.90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21,006,418.60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使用权资产折旧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无形资产摊销</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389,796.83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351,617.51</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长期待摊费用摊销</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处置固定资产、无形资产和其他长期资产的损失（收益以“－”号填列）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4,582.53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固定资产报废损失（收益以“－”号填列）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公允价值变动损失（收益以“－”号填列）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7,728,357.75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-251,213,439.66</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lastRenderedPageBreak/>
              <w:t>财务费用（收益以“－”号填列）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12,080,962.16</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73,787,110.00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投资损失（收益以“－”号填列）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-80,904,546.22</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-178,522,205.66</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递延所得税资产减少（增加以“－”号填列）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-363,907.53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-138,721.45</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递延所得税负债增加（减少以“－”号填列）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-10,187,435.41</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-20,490,384.39</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存货的减少（增加以“－”号填列）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97,254,355.89</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42,620,960.28</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经营性应收项目的减少（增加以“－”号填列）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-20,730,170.08</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-82,061,842.45</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经营性应付项目的增加（减少以“－”号填列）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-234,177,535.31</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15,877,462.05</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380F15">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信用减值损失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3,529,971.10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-3,445,316.01</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-92,450,866.83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22,541,197.53</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2．不涉及现金收支的重大投资和筹资活动：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债务转为资本</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一年内到期的可转换公司债券</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融资租入固定资产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3．现金及现金等价物净变动情况：</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现金的期末余额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648,130,822.13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756,800,305.40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减：现金的期初余额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525,779,170.47</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826,899,844.52</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加：现金等价物的期末余额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减：现金等价物的期初余额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122,351,651.66</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-70,099,539.12</w:t>
            </w:r>
          </w:p>
        </w:tc>
      </w:tr>
    </w:tbl>
    <w:p w:rsidR="00F068AD" w:rsidRDefault="00CB63CD">
      <w:pPr>
        <w:keepNext/>
        <w:keepLines/>
        <w:spacing w:before="300" w:after="300" w:line="280" w:lineRule="exact"/>
        <w:outlineLvl w:val="3"/>
        <w:rPr>
          <w:rFonts w:ascii="宋体" w:eastAsia="宋体" w:hAnsi="宋体" w:cs="宋体"/>
          <w:b/>
          <w:bCs/>
          <w:szCs w:val="21"/>
        </w:rPr>
      </w:pPr>
      <w:bookmarkStart w:id="245" w:name="_Toc989136"/>
      <w:r>
        <w:rPr>
          <w:rFonts w:ascii="宋体" w:eastAsia="宋体" w:hAnsi="宋体" w:cs="宋体"/>
          <w:b/>
          <w:bCs/>
          <w:szCs w:val="21"/>
        </w:rPr>
        <w:t>（2） 现金和现金等价物的构成</w:t>
      </w:r>
      <w:bookmarkEnd w:id="245"/>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一、现金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648,130,822.13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525,779,170.47</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其中：库存现金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可随时用于支付的银行存款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622,311,063.80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487,592,333.71</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可随时用于支付的其他货币资金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25,819,658.33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38,186,836.76</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其中：三个月内到期的债券投资</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三、期末现金及现金等价物余额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648,130,822.13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525,779,170.47</w:t>
            </w:r>
          </w:p>
        </w:tc>
      </w:tr>
    </w:tbl>
    <w:p w:rsidR="00F068AD" w:rsidRDefault="00CB63CD">
      <w:pPr>
        <w:pStyle w:val="3"/>
        <w:spacing w:line="280" w:lineRule="exact"/>
        <w:jc w:val="left"/>
        <w:rPr>
          <w:rFonts w:ascii="宋体" w:hAnsi="宋体" w:cs="宋体"/>
          <w:b/>
          <w:bCs/>
        </w:rPr>
      </w:pPr>
      <w:bookmarkStart w:id="246" w:name="_Toc989137"/>
      <w:r>
        <w:rPr>
          <w:rFonts w:ascii="宋体" w:hAnsi="宋体" w:cs="宋体"/>
          <w:b/>
          <w:bCs/>
        </w:rPr>
        <w:t>47、所有权或使用权受到限制的资产</w:t>
      </w:r>
      <w:bookmarkEnd w:id="246"/>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期末账面价值</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受限原因</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109,500,000.00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借款保证金</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15,000,000.00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银行承兑汇票保证金</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lastRenderedPageBreak/>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150,657,760.92</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票据质押融资</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江阴华西化工码头有限公司75%股权</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407,650,743.99</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工商银行借款6,200.00万元由江苏华西集团有限公司提供担保及公司持有的江阴华西化工码头公司75%股权质押</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682,808,504.91</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bl>
    <w:p w:rsidR="00F068AD" w:rsidRDefault="00CB63CD">
      <w:pPr>
        <w:pStyle w:val="3"/>
        <w:spacing w:line="280" w:lineRule="exact"/>
        <w:jc w:val="left"/>
        <w:rPr>
          <w:rFonts w:ascii="宋体" w:hAnsi="宋体" w:cs="宋体"/>
          <w:b/>
          <w:bCs/>
        </w:rPr>
      </w:pPr>
      <w:bookmarkStart w:id="247" w:name="_Toc989138"/>
      <w:r>
        <w:rPr>
          <w:rFonts w:ascii="宋体" w:hAnsi="宋体" w:cs="宋体"/>
          <w:b/>
          <w:bCs/>
        </w:rPr>
        <w:t>48、外币货币性项目</w:t>
      </w:r>
      <w:bookmarkEnd w:id="247"/>
    </w:p>
    <w:p w:rsidR="00F068AD" w:rsidRDefault="00CB63CD">
      <w:pPr>
        <w:keepNext/>
        <w:keepLines/>
        <w:spacing w:before="300" w:after="300" w:line="280" w:lineRule="exact"/>
        <w:outlineLvl w:val="3"/>
        <w:rPr>
          <w:rFonts w:ascii="宋体" w:eastAsia="宋体" w:hAnsi="宋体" w:cs="宋体"/>
          <w:b/>
          <w:bCs/>
          <w:szCs w:val="21"/>
        </w:rPr>
      </w:pPr>
      <w:bookmarkStart w:id="248" w:name="_Toc989139"/>
      <w:r>
        <w:rPr>
          <w:rFonts w:ascii="宋体" w:eastAsia="宋体" w:hAnsi="宋体" w:cs="宋体"/>
          <w:b/>
          <w:bCs/>
          <w:szCs w:val="21"/>
        </w:rPr>
        <w:t>（1） 外币货币性项目</w:t>
      </w:r>
      <w:bookmarkEnd w:id="248"/>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期末外币余额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折算汇率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期末折算人民币余额</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109,393,376.51</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13,385,984.71</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6.7114</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89,838,697.78</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2,790,177.32</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7.0084</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19,554,678.73</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应收账款</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129,834,515.61</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19,345,369.91</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6.7114</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129,834,515.61</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长期借款</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预付款项</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714,856.80</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其中:欧元</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102,000.00</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7.0084</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714,856.80</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应付账款</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16,150,190.95</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2,406,381.82</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6.7114</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16,150,190.95</w:t>
            </w:r>
          </w:p>
        </w:tc>
      </w:tr>
    </w:tbl>
    <w:p w:rsidR="00F068AD" w:rsidRDefault="00CB63CD">
      <w:pPr>
        <w:keepNext/>
        <w:keepLines/>
        <w:spacing w:before="300" w:after="300" w:line="280" w:lineRule="exact"/>
        <w:outlineLvl w:val="3"/>
        <w:rPr>
          <w:rFonts w:ascii="宋体" w:eastAsia="宋体" w:hAnsi="宋体" w:cs="宋体"/>
          <w:b/>
          <w:bCs/>
          <w:szCs w:val="21"/>
        </w:rPr>
      </w:pPr>
      <w:bookmarkStart w:id="249" w:name="_Toc989140"/>
      <w:r>
        <w:rPr>
          <w:rFonts w:ascii="宋体" w:eastAsia="宋体" w:hAnsi="宋体" w:cs="宋体"/>
          <w:b/>
          <w:bCs/>
          <w:szCs w:val="21"/>
        </w:rPr>
        <w:t>（2） 境外经营实体说明，包括对于重要的境外经营实体，应披露其境外主要经营地、记账本位币及选择依据，记账本位币发生变化的还应披露原因。</w:t>
      </w:r>
      <w:bookmarkEnd w:id="249"/>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pStyle w:val="3"/>
        <w:spacing w:line="280" w:lineRule="exact"/>
        <w:jc w:val="left"/>
        <w:rPr>
          <w:rFonts w:ascii="宋体" w:hAnsi="宋体" w:cs="宋体"/>
          <w:b/>
          <w:bCs/>
        </w:rPr>
      </w:pPr>
      <w:bookmarkStart w:id="250" w:name="_Toc989141"/>
      <w:r>
        <w:rPr>
          <w:rFonts w:ascii="宋体" w:hAnsi="宋体" w:cs="宋体"/>
          <w:b/>
          <w:bCs/>
        </w:rPr>
        <w:t>49、政府补助</w:t>
      </w:r>
      <w:bookmarkEnd w:id="250"/>
    </w:p>
    <w:p w:rsidR="00F068AD" w:rsidRDefault="00CB63CD">
      <w:pPr>
        <w:keepNext/>
        <w:keepLines/>
        <w:spacing w:before="300" w:after="300" w:line="280" w:lineRule="exact"/>
        <w:outlineLvl w:val="3"/>
        <w:rPr>
          <w:rFonts w:ascii="宋体" w:eastAsia="宋体" w:hAnsi="宋体" w:cs="宋体"/>
          <w:b/>
          <w:bCs/>
          <w:szCs w:val="21"/>
        </w:rPr>
      </w:pPr>
      <w:bookmarkStart w:id="251" w:name="_Toc989142"/>
      <w:r>
        <w:rPr>
          <w:rFonts w:ascii="宋体" w:eastAsia="宋体" w:hAnsi="宋体" w:cs="宋体"/>
          <w:b/>
          <w:bCs/>
          <w:szCs w:val="21"/>
        </w:rPr>
        <w:t>（1） 政府补助基本情况</w:t>
      </w:r>
      <w:bookmarkEnd w:id="251"/>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种类</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列报项目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计入当期损益的金额</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与收益相关政府补助</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1,295,131.16</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其他收益</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1,295,131.16</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合</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1,295,131.16</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1,295,131.16</w:t>
            </w:r>
          </w:p>
        </w:tc>
      </w:tr>
    </w:tbl>
    <w:p w:rsidR="00F068AD" w:rsidRDefault="00CB63CD">
      <w:pPr>
        <w:keepNext/>
        <w:keepLines/>
        <w:spacing w:before="300" w:after="300" w:line="280" w:lineRule="exact"/>
        <w:outlineLvl w:val="3"/>
        <w:rPr>
          <w:rFonts w:ascii="宋体" w:eastAsia="宋体" w:hAnsi="宋体" w:cs="宋体"/>
          <w:b/>
          <w:bCs/>
          <w:szCs w:val="21"/>
        </w:rPr>
      </w:pPr>
      <w:bookmarkStart w:id="252" w:name="_Toc989143"/>
      <w:r>
        <w:rPr>
          <w:rFonts w:ascii="宋体" w:eastAsia="宋体" w:hAnsi="宋体" w:cs="宋体"/>
          <w:b/>
          <w:bCs/>
          <w:szCs w:val="21"/>
        </w:rPr>
        <w:lastRenderedPageBreak/>
        <w:t>（2） 政府补助退回情况</w:t>
      </w:r>
      <w:bookmarkEnd w:id="252"/>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CB63CD" w:rsidRDefault="00CB63CD">
      <w:pPr>
        <w:pStyle w:val="a3"/>
        <w:spacing w:before="0" w:beforeAutospacing="0" w:after="0" w:afterAutospacing="0" w:line="360" w:lineRule="auto"/>
        <w:ind w:firstLine="480"/>
        <w:jc w:val="both"/>
        <w:divId w:val="179245246"/>
        <w:rPr>
          <w:rFonts w:ascii="Times New Roman" w:hAnsi="Times New Roman" w:cs="Times New Roman"/>
          <w:sz w:val="21"/>
          <w:szCs w:val="21"/>
        </w:rPr>
      </w:pPr>
      <w:r>
        <w:rPr>
          <w:rFonts w:cs="Times New Roman" w:hint="eastAsia"/>
          <w:sz w:val="18"/>
          <w:szCs w:val="18"/>
        </w:rPr>
        <w:t>本期不存在政府补助退回的情况。</w:t>
      </w:r>
    </w:p>
    <w:p w:rsidR="00F068AD" w:rsidRDefault="00CB63CD">
      <w:pPr>
        <w:pStyle w:val="2"/>
        <w:spacing w:before="300" w:after="300" w:line="320" w:lineRule="exact"/>
        <w:rPr>
          <w:rFonts w:ascii="宋体" w:eastAsia="宋体" w:hAnsi="宋体" w:cs="宋体"/>
          <w:b/>
          <w:bCs/>
          <w:sz w:val="24"/>
          <w:szCs w:val="24"/>
        </w:rPr>
      </w:pPr>
      <w:bookmarkStart w:id="253" w:name="_Toc989144"/>
      <w:r>
        <w:rPr>
          <w:rFonts w:ascii="宋体" w:eastAsia="宋体" w:hAnsi="宋体" w:cs="宋体"/>
          <w:b/>
          <w:bCs/>
          <w:sz w:val="24"/>
          <w:szCs w:val="24"/>
        </w:rPr>
        <w:t>八、合并范围的变更</w:t>
      </w:r>
      <w:bookmarkEnd w:id="253"/>
    </w:p>
    <w:p w:rsidR="00F068AD" w:rsidRDefault="00CB63CD">
      <w:pPr>
        <w:pStyle w:val="3"/>
        <w:spacing w:line="280" w:lineRule="exact"/>
        <w:jc w:val="left"/>
        <w:rPr>
          <w:rFonts w:ascii="宋体" w:hAnsi="宋体" w:cs="宋体"/>
          <w:b/>
          <w:bCs/>
        </w:rPr>
      </w:pPr>
      <w:bookmarkStart w:id="254" w:name="_Toc989145"/>
      <w:r>
        <w:rPr>
          <w:rFonts w:ascii="宋体" w:hAnsi="宋体" w:cs="宋体"/>
          <w:b/>
          <w:bCs/>
        </w:rPr>
        <w:t>1、非同一控制下企业合并</w:t>
      </w:r>
      <w:bookmarkEnd w:id="254"/>
    </w:p>
    <w:p w:rsidR="00F068AD" w:rsidRDefault="00CB63CD">
      <w:pPr>
        <w:keepNext/>
        <w:keepLines/>
        <w:spacing w:before="300" w:after="300" w:line="280" w:lineRule="exact"/>
        <w:outlineLvl w:val="3"/>
        <w:rPr>
          <w:rFonts w:ascii="宋体" w:eastAsia="宋体" w:hAnsi="宋体" w:cs="宋体"/>
          <w:b/>
          <w:bCs/>
          <w:sz w:val="18"/>
          <w:szCs w:val="18"/>
        </w:rPr>
      </w:pPr>
      <w:bookmarkStart w:id="255" w:name="_Toc989146"/>
      <w:r>
        <w:rPr>
          <w:rFonts w:ascii="宋体" w:eastAsia="宋体" w:hAnsi="宋体" w:cs="宋体"/>
          <w:b/>
          <w:bCs/>
          <w:sz w:val="18"/>
          <w:szCs w:val="18"/>
        </w:rPr>
        <w:t>（1） 本期发生的非同一控制下企业合并</w:t>
      </w:r>
      <w:bookmarkEnd w:id="255"/>
    </w:p>
    <w:p w:rsidR="00CB63CD" w:rsidRDefault="00CB63CD">
      <w:pPr>
        <w:pStyle w:val="a3"/>
        <w:divId w:val="1420756408"/>
        <w:rPr>
          <w:sz w:val="18"/>
          <w:szCs w:val="18"/>
        </w:rPr>
      </w:pPr>
      <w:r>
        <w:rPr>
          <w:rFonts w:hint="eastAsia"/>
          <w:sz w:val="18"/>
          <w:szCs w:val="18"/>
        </w:rPr>
        <w:t>无。</w:t>
      </w:r>
    </w:p>
    <w:p w:rsidR="00F068AD" w:rsidRDefault="00CB63CD">
      <w:pPr>
        <w:pStyle w:val="3"/>
        <w:spacing w:line="280" w:lineRule="exact"/>
        <w:jc w:val="left"/>
        <w:rPr>
          <w:rFonts w:ascii="宋体" w:hAnsi="宋体" w:cs="宋体"/>
          <w:b/>
          <w:bCs/>
        </w:rPr>
      </w:pPr>
      <w:bookmarkStart w:id="256" w:name="_Toc989147"/>
      <w:r>
        <w:rPr>
          <w:rFonts w:ascii="宋体" w:hAnsi="宋体" w:cs="宋体"/>
          <w:b/>
          <w:bCs/>
        </w:rPr>
        <w:t>2、同一控制下企业合并</w:t>
      </w:r>
      <w:bookmarkEnd w:id="256"/>
    </w:p>
    <w:p w:rsidR="00F068AD" w:rsidRDefault="00CB63CD">
      <w:pPr>
        <w:keepNext/>
        <w:keepLines/>
        <w:spacing w:before="300" w:after="300" w:line="280" w:lineRule="exact"/>
        <w:outlineLvl w:val="3"/>
        <w:rPr>
          <w:rFonts w:ascii="宋体" w:eastAsia="宋体" w:hAnsi="宋体" w:cs="宋体"/>
          <w:b/>
          <w:bCs/>
          <w:sz w:val="18"/>
          <w:szCs w:val="18"/>
        </w:rPr>
      </w:pPr>
      <w:bookmarkStart w:id="257" w:name="_Toc989148"/>
      <w:r>
        <w:rPr>
          <w:rFonts w:ascii="宋体" w:eastAsia="宋体" w:hAnsi="宋体" w:cs="宋体"/>
          <w:b/>
          <w:bCs/>
          <w:sz w:val="18"/>
          <w:szCs w:val="18"/>
        </w:rPr>
        <w:t>（1） 本期发生的同一控制下企业合并</w:t>
      </w:r>
      <w:bookmarkEnd w:id="257"/>
    </w:p>
    <w:p w:rsidR="00CB63CD" w:rsidRDefault="00CB63CD">
      <w:pPr>
        <w:pStyle w:val="a3"/>
        <w:divId w:val="2132507954"/>
        <w:rPr>
          <w:sz w:val="18"/>
          <w:szCs w:val="18"/>
        </w:rPr>
      </w:pPr>
      <w:r>
        <w:rPr>
          <w:rFonts w:hint="eastAsia"/>
          <w:sz w:val="18"/>
          <w:szCs w:val="18"/>
        </w:rPr>
        <w:t>无。</w:t>
      </w:r>
    </w:p>
    <w:p w:rsidR="00F068AD" w:rsidRDefault="00CB63CD">
      <w:pPr>
        <w:pStyle w:val="3"/>
        <w:spacing w:line="280" w:lineRule="exact"/>
        <w:jc w:val="left"/>
        <w:rPr>
          <w:rFonts w:ascii="宋体" w:hAnsi="宋体" w:cs="宋体"/>
          <w:b/>
          <w:bCs/>
        </w:rPr>
      </w:pPr>
      <w:bookmarkStart w:id="258" w:name="_Toc989149"/>
      <w:r>
        <w:rPr>
          <w:rFonts w:ascii="宋体" w:hAnsi="宋体" w:cs="宋体"/>
          <w:b/>
          <w:bCs/>
        </w:rPr>
        <w:t>3、处置子公司</w:t>
      </w:r>
      <w:bookmarkEnd w:id="258"/>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是否存在单次处置对子公司投资即丧失控制权的情形</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是否存在通过多次交易分步处置对子公司投资且在本期丧失控制权的情形</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F068AD" w:rsidRDefault="00CB63CD">
      <w:pPr>
        <w:pStyle w:val="2"/>
        <w:spacing w:before="300" w:after="300" w:line="320" w:lineRule="exact"/>
        <w:rPr>
          <w:rFonts w:ascii="宋体" w:eastAsia="宋体" w:hAnsi="宋体" w:cs="宋体"/>
          <w:b/>
          <w:bCs/>
          <w:sz w:val="24"/>
          <w:szCs w:val="24"/>
        </w:rPr>
      </w:pPr>
      <w:bookmarkStart w:id="259" w:name="_Toc989150"/>
      <w:r>
        <w:rPr>
          <w:rFonts w:ascii="宋体" w:eastAsia="宋体" w:hAnsi="宋体" w:cs="宋体"/>
          <w:b/>
          <w:bCs/>
          <w:sz w:val="24"/>
          <w:szCs w:val="24"/>
        </w:rPr>
        <w:t>九、在其他主体中的权益</w:t>
      </w:r>
      <w:bookmarkEnd w:id="259"/>
    </w:p>
    <w:p w:rsidR="00F068AD" w:rsidRDefault="00CB63CD">
      <w:pPr>
        <w:pStyle w:val="3"/>
        <w:spacing w:line="280" w:lineRule="exact"/>
        <w:jc w:val="left"/>
        <w:rPr>
          <w:rFonts w:ascii="宋体" w:hAnsi="宋体" w:cs="宋体"/>
          <w:b/>
          <w:bCs/>
        </w:rPr>
      </w:pPr>
      <w:bookmarkStart w:id="260" w:name="_Toc989151"/>
      <w:r>
        <w:rPr>
          <w:rFonts w:ascii="宋体" w:hAnsi="宋体" w:cs="宋体"/>
          <w:b/>
          <w:bCs/>
        </w:rPr>
        <w:t>1、在子公司中的权益</w:t>
      </w:r>
      <w:bookmarkEnd w:id="260"/>
    </w:p>
    <w:p w:rsidR="00F068AD" w:rsidRDefault="00CB63CD">
      <w:pPr>
        <w:keepNext/>
        <w:keepLines/>
        <w:spacing w:before="300" w:after="300" w:line="280" w:lineRule="exact"/>
        <w:outlineLvl w:val="3"/>
        <w:rPr>
          <w:rFonts w:ascii="宋体" w:eastAsia="宋体" w:hAnsi="宋体" w:cs="宋体"/>
          <w:b/>
          <w:bCs/>
          <w:sz w:val="18"/>
          <w:szCs w:val="18"/>
        </w:rPr>
      </w:pPr>
      <w:bookmarkStart w:id="261" w:name="_Toc989152"/>
      <w:r>
        <w:rPr>
          <w:rFonts w:ascii="宋体" w:eastAsia="宋体" w:hAnsi="宋体" w:cs="宋体"/>
          <w:b/>
          <w:bCs/>
          <w:sz w:val="18"/>
          <w:szCs w:val="18"/>
        </w:rPr>
        <w:t>（1） 企业集团的构成</w:t>
      </w:r>
      <w:bookmarkEnd w:id="261"/>
    </w:p>
    <w:p w:rsidR="00380F15" w:rsidRPr="00380F15" w:rsidRDefault="00380F15">
      <w:pPr>
        <w:keepNext/>
        <w:keepLines/>
        <w:spacing w:before="300" w:after="300" w:line="280" w:lineRule="exact"/>
        <w:outlineLvl w:val="3"/>
        <w:rPr>
          <w:rFonts w:ascii="宋体" w:eastAsia="宋体" w:hAnsi="宋体" w:cs="宋体"/>
          <w:bCs/>
          <w:sz w:val="18"/>
          <w:szCs w:val="18"/>
        </w:rPr>
      </w:pPr>
      <w:r w:rsidRPr="00380F15">
        <w:rPr>
          <w:rFonts w:ascii="宋体" w:eastAsia="宋体" w:hAnsi="宋体" w:cs="宋体" w:hint="eastAsia"/>
          <w:bCs/>
          <w:sz w:val="18"/>
          <w:szCs w:val="18"/>
        </w:rPr>
        <w:t>A、纳入合并范围的子公司</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F068AD">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子公司名称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主要经营地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注册地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业务性质</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取得方式</w:t>
            </w:r>
          </w:p>
        </w:tc>
      </w:tr>
      <w:tr w:rsidR="00F068AD">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直接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间接</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江阴市</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江阴市</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码头的建设经营、仓储</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75.00%</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非同一控制下企业合并</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江阴华西村资本有限公司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江阴市</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江阴市</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股权投资；化纤等销售</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设立</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江阴市华西新材料科技有限公司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江阴市</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江阴市</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化学纤维的制造与加工</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设立</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江阴华西非织造布研发基地有限公司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江阴市</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江阴市</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医用口罩的生产与销售</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设立</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上海鑫华汐实业有限公司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上海市</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上海市</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合成纤维销售</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设立</w:t>
            </w:r>
          </w:p>
        </w:tc>
      </w:tr>
    </w:tbl>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在子公司的持股比例不同于表决权比例的说明：</w:t>
      </w:r>
    </w:p>
    <w:p w:rsidR="00CB63CD" w:rsidRPr="004E7CC3" w:rsidRDefault="00CB63CD">
      <w:pPr>
        <w:spacing w:before="100" w:beforeAutospacing="1" w:after="100" w:afterAutospacing="1" w:line="360" w:lineRule="auto"/>
        <w:ind w:firstLine="360"/>
        <w:divId w:val="157158209"/>
        <w:rPr>
          <w:rFonts w:asciiTheme="minorEastAsia" w:hAnsiTheme="minorEastAsia"/>
        </w:rPr>
      </w:pPr>
      <w:r w:rsidRPr="004E7CC3">
        <w:rPr>
          <w:rFonts w:asciiTheme="minorEastAsia" w:hAnsiTheme="minorEastAsia" w:hint="eastAsia"/>
          <w:sz w:val="18"/>
          <w:szCs w:val="18"/>
        </w:rPr>
        <w:t>B、纳入合并范围的结构化主体</w:t>
      </w:r>
    </w:p>
    <w:p w:rsidR="00CB63CD" w:rsidRPr="00380F15" w:rsidRDefault="00CB63CD">
      <w:pPr>
        <w:spacing w:before="100" w:beforeAutospacing="1" w:after="100" w:afterAutospacing="1" w:line="360" w:lineRule="auto"/>
        <w:ind w:firstLine="360"/>
        <w:divId w:val="157158209"/>
        <w:rPr>
          <w:rFonts w:asciiTheme="minorEastAsia" w:hAnsiTheme="minorEastAsia"/>
        </w:rPr>
      </w:pPr>
      <w:r w:rsidRPr="00380F15">
        <w:rPr>
          <w:rFonts w:asciiTheme="minorEastAsia" w:hAnsiTheme="minorEastAsia" w:hint="eastAsia"/>
          <w:sz w:val="18"/>
          <w:szCs w:val="18"/>
        </w:rPr>
        <w:t>截至2022年6月30日，纳入公司合并财务报表范围的结构化主体的净资产为人民币</w:t>
      </w:r>
      <w:r w:rsidRPr="00380F15">
        <w:rPr>
          <w:rFonts w:asciiTheme="minorEastAsia" w:hAnsiTheme="minorEastAsia" w:hint="eastAsia"/>
          <w:color w:val="000000"/>
          <w:sz w:val="18"/>
          <w:szCs w:val="18"/>
        </w:rPr>
        <w:t>98,700.02万元</w:t>
      </w:r>
      <w:r w:rsidRPr="00380F15">
        <w:rPr>
          <w:rFonts w:asciiTheme="minorEastAsia" w:hAnsiTheme="minorEastAsia" w:hint="eastAsia"/>
          <w:sz w:val="18"/>
          <w:szCs w:val="18"/>
        </w:rPr>
        <w:t>。公司确定是否合并特定结构化主体是基于：对结构化主体所拥有的权力；通过参与结构化主体的相关活动而享有的可变回报；以及有能力运用对结构化主体的权力影响公司回报金额的评估结果。基于上述标准，2022年6月末纳入公司合并报表范围的结构化主体信息如下：</w:t>
      </w:r>
    </w:p>
    <w:tbl>
      <w:tblPr>
        <w:tblW w:w="9312" w:type="dxa"/>
        <w:jc w:val="center"/>
        <w:tblCellMar>
          <w:left w:w="0" w:type="dxa"/>
          <w:right w:w="0" w:type="dxa"/>
        </w:tblCellMar>
        <w:tblLook w:val="04A0" w:firstRow="1" w:lastRow="0" w:firstColumn="1" w:lastColumn="0" w:noHBand="0" w:noVBand="1"/>
      </w:tblPr>
      <w:tblGrid>
        <w:gridCol w:w="3805"/>
        <w:gridCol w:w="993"/>
        <w:gridCol w:w="850"/>
        <w:gridCol w:w="1297"/>
        <w:gridCol w:w="829"/>
        <w:gridCol w:w="664"/>
        <w:gridCol w:w="874"/>
      </w:tblGrid>
      <w:tr w:rsidR="00CB63CD">
        <w:trPr>
          <w:divId w:val="157158209"/>
          <w:trHeight w:val="340"/>
          <w:tblHeader/>
          <w:jc w:val="center"/>
        </w:trPr>
        <w:tc>
          <w:tcPr>
            <w:tcW w:w="38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结构化主体名称</w:t>
            </w:r>
          </w:p>
        </w:tc>
        <w:tc>
          <w:tcPr>
            <w:tcW w:w="99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主要经营地</w:t>
            </w:r>
          </w:p>
        </w:tc>
        <w:tc>
          <w:tcPr>
            <w:tcW w:w="85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注册地</w:t>
            </w:r>
          </w:p>
        </w:tc>
        <w:tc>
          <w:tcPr>
            <w:tcW w:w="129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业务性质</w:t>
            </w:r>
          </w:p>
        </w:tc>
        <w:tc>
          <w:tcPr>
            <w:tcW w:w="149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出资比例(%)</w:t>
            </w:r>
          </w:p>
        </w:tc>
        <w:tc>
          <w:tcPr>
            <w:tcW w:w="87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取得方式</w:t>
            </w:r>
          </w:p>
        </w:tc>
      </w:tr>
      <w:tr w:rsidR="00CB63CD">
        <w:trPr>
          <w:divId w:val="157158209"/>
          <w:trHeight w:val="34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B63CD" w:rsidRDefault="00CB63CD">
            <w:pPr>
              <w:rPr>
                <w:rFonts w:ascii="Times New Roman" w:eastAsia="宋体" w:hAnsi="Times New Roman" w:cs="Times New Roman"/>
                <w:szCs w:val="21"/>
              </w:rPr>
            </w:pPr>
          </w:p>
        </w:tc>
        <w:tc>
          <w:tcPr>
            <w:tcW w:w="0" w:type="auto"/>
            <w:vMerge/>
            <w:tcBorders>
              <w:top w:val="single" w:sz="8" w:space="0" w:color="auto"/>
              <w:left w:val="nil"/>
              <w:bottom w:val="single" w:sz="8" w:space="0" w:color="auto"/>
              <w:right w:val="single" w:sz="8" w:space="0" w:color="auto"/>
            </w:tcBorders>
            <w:vAlign w:val="center"/>
            <w:hideMark/>
          </w:tcPr>
          <w:p w:rsidR="00CB63CD" w:rsidRDefault="00CB63CD">
            <w:pPr>
              <w:rPr>
                <w:rFonts w:ascii="Times New Roman" w:eastAsia="宋体" w:hAnsi="Times New Roman" w:cs="Times New Roman"/>
                <w:szCs w:val="21"/>
              </w:rPr>
            </w:pPr>
          </w:p>
        </w:tc>
        <w:tc>
          <w:tcPr>
            <w:tcW w:w="0" w:type="auto"/>
            <w:vMerge/>
            <w:tcBorders>
              <w:top w:val="single" w:sz="8" w:space="0" w:color="auto"/>
              <w:left w:val="nil"/>
              <w:bottom w:val="single" w:sz="8" w:space="0" w:color="auto"/>
              <w:right w:val="single" w:sz="8" w:space="0" w:color="auto"/>
            </w:tcBorders>
            <w:vAlign w:val="center"/>
            <w:hideMark/>
          </w:tcPr>
          <w:p w:rsidR="00CB63CD" w:rsidRDefault="00CB63CD">
            <w:pPr>
              <w:rPr>
                <w:rFonts w:ascii="Times New Roman" w:eastAsia="宋体" w:hAnsi="Times New Roman" w:cs="Times New Roman"/>
                <w:szCs w:val="21"/>
              </w:rPr>
            </w:pPr>
          </w:p>
        </w:tc>
        <w:tc>
          <w:tcPr>
            <w:tcW w:w="0" w:type="auto"/>
            <w:vMerge/>
            <w:tcBorders>
              <w:top w:val="single" w:sz="8" w:space="0" w:color="auto"/>
              <w:left w:val="nil"/>
              <w:bottom w:val="single" w:sz="8" w:space="0" w:color="auto"/>
              <w:right w:val="single" w:sz="8" w:space="0" w:color="auto"/>
            </w:tcBorders>
            <w:vAlign w:val="center"/>
            <w:hideMark/>
          </w:tcPr>
          <w:p w:rsidR="00CB63CD" w:rsidRDefault="00CB63CD">
            <w:pPr>
              <w:rPr>
                <w:rFonts w:ascii="Times New Roman" w:eastAsia="宋体" w:hAnsi="Times New Roman" w:cs="Times New Roman"/>
                <w:szCs w:val="21"/>
              </w:rPr>
            </w:pPr>
          </w:p>
        </w:tc>
        <w:tc>
          <w:tcPr>
            <w:tcW w:w="8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直接</w:t>
            </w:r>
          </w:p>
        </w:tc>
        <w:tc>
          <w:tcPr>
            <w:tcW w:w="6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间接</w:t>
            </w:r>
          </w:p>
        </w:tc>
        <w:tc>
          <w:tcPr>
            <w:tcW w:w="0" w:type="auto"/>
            <w:vMerge/>
            <w:tcBorders>
              <w:top w:val="single" w:sz="8" w:space="0" w:color="auto"/>
              <w:left w:val="nil"/>
              <w:bottom w:val="single" w:sz="8" w:space="0" w:color="auto"/>
              <w:right w:val="single" w:sz="8" w:space="0" w:color="auto"/>
            </w:tcBorders>
            <w:vAlign w:val="center"/>
            <w:hideMark/>
          </w:tcPr>
          <w:p w:rsidR="00CB63CD" w:rsidRDefault="00CB63CD">
            <w:pPr>
              <w:rPr>
                <w:rFonts w:ascii="Times New Roman" w:eastAsia="宋体" w:hAnsi="Times New Roman" w:cs="Times New Roman"/>
                <w:szCs w:val="21"/>
              </w:rPr>
            </w:pPr>
          </w:p>
        </w:tc>
      </w:tr>
      <w:tr w:rsidR="00CB63CD">
        <w:trPr>
          <w:divId w:val="157158209"/>
          <w:trHeight w:val="340"/>
          <w:jc w:val="center"/>
        </w:trPr>
        <w:tc>
          <w:tcPr>
            <w:tcW w:w="38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上海启澜企业管理咨询合伙企业（有限合伙）</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上海市</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上海市</w:t>
            </w:r>
          </w:p>
        </w:tc>
        <w:tc>
          <w:tcPr>
            <w:tcW w:w="12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企业管理咨询</w:t>
            </w:r>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100.00</w:t>
            </w:r>
          </w:p>
        </w:tc>
        <w:tc>
          <w:tcPr>
            <w:tcW w:w="6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 </w:t>
            </w:r>
          </w:p>
        </w:tc>
        <w:tc>
          <w:tcPr>
            <w:tcW w:w="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设立</w:t>
            </w:r>
          </w:p>
        </w:tc>
      </w:tr>
    </w:tbl>
    <w:p w:rsidR="00F068AD" w:rsidRDefault="00CB63CD">
      <w:pPr>
        <w:keepNext/>
        <w:keepLines/>
        <w:spacing w:before="300" w:after="300" w:line="280" w:lineRule="exact"/>
        <w:outlineLvl w:val="3"/>
        <w:rPr>
          <w:rFonts w:ascii="宋体" w:eastAsia="宋体" w:hAnsi="宋体" w:cs="宋体"/>
          <w:b/>
          <w:bCs/>
          <w:sz w:val="18"/>
          <w:szCs w:val="18"/>
        </w:rPr>
      </w:pPr>
      <w:bookmarkStart w:id="262" w:name="_Toc989153"/>
      <w:r>
        <w:rPr>
          <w:rFonts w:ascii="宋体" w:eastAsia="宋体" w:hAnsi="宋体" w:cs="宋体"/>
          <w:b/>
          <w:bCs/>
          <w:sz w:val="18"/>
          <w:szCs w:val="18"/>
        </w:rPr>
        <w:t>（2） 重要的非全资子公司</w:t>
      </w:r>
      <w:bookmarkEnd w:id="262"/>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子公司名称</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少数股东持股比例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本期归属于少数股东的损益</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本期向少数股东宣告分派的股利</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期末少数股东权益余额</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12,269,729.85</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135,883,581.33</w:t>
            </w:r>
          </w:p>
        </w:tc>
      </w:tr>
    </w:tbl>
    <w:p w:rsidR="00F068AD" w:rsidRDefault="00CB63CD">
      <w:pPr>
        <w:keepNext/>
        <w:keepLines/>
        <w:spacing w:before="300" w:after="300" w:line="280" w:lineRule="exact"/>
        <w:outlineLvl w:val="3"/>
        <w:rPr>
          <w:rFonts w:ascii="宋体" w:eastAsia="宋体" w:hAnsi="宋体" w:cs="宋体"/>
          <w:b/>
          <w:bCs/>
          <w:sz w:val="18"/>
          <w:szCs w:val="18"/>
        </w:rPr>
      </w:pPr>
      <w:bookmarkStart w:id="263" w:name="_Toc989154"/>
      <w:r>
        <w:rPr>
          <w:rFonts w:ascii="宋体" w:eastAsia="宋体" w:hAnsi="宋体" w:cs="宋体"/>
          <w:b/>
          <w:bCs/>
          <w:sz w:val="18"/>
          <w:szCs w:val="18"/>
        </w:rPr>
        <w:t>（3） 重要非全资子公司的主要财务信息</w:t>
      </w:r>
      <w:bookmarkEnd w:id="263"/>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741"/>
        <w:gridCol w:w="741"/>
        <w:gridCol w:w="741"/>
        <w:gridCol w:w="741"/>
        <w:gridCol w:w="741"/>
        <w:gridCol w:w="741"/>
        <w:gridCol w:w="744"/>
        <w:gridCol w:w="741"/>
        <w:gridCol w:w="741"/>
        <w:gridCol w:w="741"/>
        <w:gridCol w:w="741"/>
        <w:gridCol w:w="741"/>
        <w:gridCol w:w="744"/>
      </w:tblGrid>
      <w:tr w:rsidR="00F068AD">
        <w:trPr>
          <w:trHeight w:val="240"/>
        </w:trPr>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子公司名称</w:t>
            </w:r>
          </w:p>
        </w:tc>
        <w:tc>
          <w:tcPr>
            <w:tcW w:w="444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44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068AD">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非流动资产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资产合计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非流动负债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负债合计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非流动资产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资产合计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非流动负债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负债合计</w:t>
            </w:r>
          </w:p>
        </w:tc>
      </w:tr>
      <w:tr w:rsidR="00F068AD">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452,692,405.01</w:t>
            </w: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118,471,830.04</w:t>
            </w: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571,164,235.05</w:t>
            </w: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27,629,909.73</w:t>
            </w: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27,629,909.73</w:t>
            </w: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408,225,428.62</w:t>
            </w: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114,805,097.78</w:t>
            </w: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523,030,526.40</w:t>
            </w: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28,575,120.46</w:t>
            </w: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28,575,120.46</w:t>
            </w:r>
          </w:p>
        </w:tc>
      </w:tr>
    </w:tbl>
    <w:p w:rsidR="00F068AD" w:rsidRDefault="00CB63C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F068AD">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子公司名称</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068AD">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净利润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综合收益总额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经营活动现金流量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净利润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综合收益总额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经营活动现金流量</w:t>
            </w:r>
          </w:p>
        </w:tc>
      </w:tr>
      <w:tr w:rsidR="00F068AD">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120,457,520.30</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49,078,919.38</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49,078,919.38</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-113,274,881.51</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124,728,961.92</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48,986,828.85</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48,986,828.85</w:t>
            </w:r>
          </w:p>
        </w:tc>
        <w:tc>
          <w:tcPr>
            <w:tcW w:w="1071"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120,722,809.47</w:t>
            </w:r>
          </w:p>
        </w:tc>
      </w:tr>
    </w:tbl>
    <w:p w:rsidR="00CB63CD" w:rsidRDefault="00CB63CD">
      <w:pPr>
        <w:divId w:val="673075494"/>
        <w:rPr>
          <w:sz w:val="18"/>
          <w:szCs w:val="18"/>
        </w:rPr>
      </w:pPr>
    </w:p>
    <w:p w:rsidR="00F068AD" w:rsidRDefault="00CB63CD">
      <w:pPr>
        <w:pStyle w:val="3"/>
        <w:spacing w:line="280" w:lineRule="exact"/>
        <w:jc w:val="left"/>
        <w:rPr>
          <w:rFonts w:ascii="宋体" w:hAnsi="宋体" w:cs="宋体"/>
          <w:b/>
          <w:bCs/>
        </w:rPr>
      </w:pPr>
      <w:bookmarkStart w:id="264" w:name="_Toc989155"/>
      <w:r>
        <w:rPr>
          <w:rFonts w:ascii="宋体" w:hAnsi="宋体" w:cs="宋体"/>
          <w:b/>
          <w:bCs/>
        </w:rPr>
        <w:lastRenderedPageBreak/>
        <w:t>2、在合营安排或联营企业中的权益</w:t>
      </w:r>
      <w:bookmarkEnd w:id="264"/>
    </w:p>
    <w:p w:rsidR="00F068AD" w:rsidRDefault="00CB63CD">
      <w:pPr>
        <w:keepNext/>
        <w:keepLines/>
        <w:spacing w:before="300" w:after="300" w:line="280" w:lineRule="exact"/>
        <w:outlineLvl w:val="3"/>
        <w:rPr>
          <w:rFonts w:ascii="宋体" w:eastAsia="宋体" w:hAnsi="宋体" w:cs="宋体"/>
          <w:b/>
          <w:bCs/>
          <w:szCs w:val="21"/>
        </w:rPr>
      </w:pPr>
      <w:bookmarkStart w:id="265" w:name="_Toc989156"/>
      <w:r>
        <w:rPr>
          <w:rFonts w:ascii="宋体" w:eastAsia="宋体" w:hAnsi="宋体" w:cs="宋体"/>
          <w:b/>
          <w:bCs/>
          <w:szCs w:val="21"/>
        </w:rPr>
        <w:t>（1） 重要的合营企业或联营企业</w:t>
      </w:r>
      <w:bookmarkEnd w:id="265"/>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F068AD">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合营企业或联营企业名称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主要经营地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注册地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业务性质</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对合营企业或联营企业投资的会计处理方法</w:t>
            </w:r>
          </w:p>
        </w:tc>
      </w:tr>
      <w:tr w:rsidR="00F068AD">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直接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间接</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云南屏边华西村矿业有限公司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屏边县</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屏边县</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矿石开采销售</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25.00%</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权益法</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联储证券有限责任公司（注）</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深圳市</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深圳市</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证券经纪</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11.73%</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权益法</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江阴华西船务有限公司（注）</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江阴市</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江阴市</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港口拖轮服务等</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14.40%</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权益法</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一村资本有限公司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上海市</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上海市</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投资与管理</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40.92%</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权益法</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VENUS PEARL SPV2 CO LIMITED</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中国、美国</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开曼群岛</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光模块研发与生产</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28.17%</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权益法</w:t>
            </w:r>
          </w:p>
        </w:tc>
      </w:tr>
    </w:tbl>
    <w:p w:rsidR="00CB63CD" w:rsidRDefault="00CB63CD">
      <w:pPr>
        <w:spacing w:before="100" w:beforeAutospacing="1" w:after="100" w:afterAutospacing="1" w:line="360" w:lineRule="auto"/>
        <w:ind w:firstLine="360"/>
        <w:divId w:val="858276024"/>
      </w:pPr>
      <w:r>
        <w:rPr>
          <w:rFonts w:hint="eastAsia"/>
          <w:sz w:val="18"/>
          <w:szCs w:val="18"/>
        </w:rPr>
        <w:t>注：公司在上述公司董事会均派有代表，对其有重要影响，公司对上述公司长期股权投资采用权益法核算。</w:t>
      </w:r>
    </w:p>
    <w:p w:rsidR="00F068AD" w:rsidRDefault="00CB63CD">
      <w:pPr>
        <w:keepNext/>
        <w:keepLines/>
        <w:spacing w:before="300" w:after="300" w:line="280" w:lineRule="exact"/>
        <w:outlineLvl w:val="3"/>
        <w:rPr>
          <w:rFonts w:ascii="宋体" w:eastAsia="宋体" w:hAnsi="宋体" w:cs="宋体"/>
          <w:b/>
          <w:bCs/>
          <w:szCs w:val="21"/>
        </w:rPr>
      </w:pPr>
      <w:bookmarkStart w:id="266" w:name="_Toc989157"/>
      <w:r>
        <w:rPr>
          <w:rFonts w:ascii="宋体" w:eastAsia="宋体" w:hAnsi="宋体" w:cs="宋体"/>
          <w:b/>
          <w:bCs/>
          <w:szCs w:val="21"/>
        </w:rPr>
        <w:t>（2） 重要联营企业的主要财务信息</w:t>
      </w:r>
      <w:bookmarkEnd w:id="266"/>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F068AD">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期末余额/本期发生额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期初余额/上期发生额</w:t>
            </w:r>
          </w:p>
        </w:tc>
      </w:tr>
      <w:tr w:rsidR="00F068AD">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center"/>
              <w:rPr>
                <w:rFonts w:ascii="宋体" w:eastAsia="宋体" w:hAnsi="宋体" w:cs="宋体"/>
                <w:sz w:val="18"/>
                <w:szCs w:val="18"/>
              </w:rPr>
            </w:pPr>
            <w:r>
              <w:rPr>
                <w:rFonts w:ascii="宋体" w:eastAsia="宋体" w:hAnsi="宋体" w:cs="宋体"/>
                <w:sz w:val="18"/>
                <w:szCs w:val="18"/>
              </w:rPr>
              <w:t>联储证券有限责任公司</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center"/>
              <w:rPr>
                <w:rFonts w:ascii="宋体" w:eastAsia="宋体" w:hAnsi="宋体" w:cs="宋体"/>
                <w:sz w:val="18"/>
                <w:szCs w:val="18"/>
              </w:rPr>
            </w:pPr>
            <w:r>
              <w:rPr>
                <w:rFonts w:ascii="宋体" w:eastAsia="宋体" w:hAnsi="宋体" w:cs="宋体"/>
                <w:sz w:val="18"/>
                <w:szCs w:val="18"/>
              </w:rPr>
              <w:t>一村资本有限公司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center"/>
              <w:rPr>
                <w:rFonts w:ascii="宋体" w:eastAsia="宋体" w:hAnsi="宋体" w:cs="宋体"/>
                <w:sz w:val="18"/>
                <w:szCs w:val="18"/>
              </w:rPr>
            </w:pPr>
            <w:r>
              <w:rPr>
                <w:rFonts w:ascii="宋体" w:eastAsia="宋体" w:hAnsi="宋体" w:cs="宋体"/>
                <w:sz w:val="18"/>
                <w:szCs w:val="18"/>
              </w:rPr>
              <w:t>VENUS PEARL SPV2 CO LIMITED</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center"/>
              <w:rPr>
                <w:rFonts w:ascii="宋体" w:eastAsia="宋体" w:hAnsi="宋体" w:cs="宋体"/>
                <w:sz w:val="18"/>
                <w:szCs w:val="18"/>
              </w:rPr>
            </w:pPr>
            <w:r>
              <w:rPr>
                <w:rFonts w:ascii="宋体" w:eastAsia="宋体" w:hAnsi="宋体" w:cs="宋体"/>
                <w:sz w:val="18"/>
                <w:szCs w:val="18"/>
              </w:rPr>
              <w:t>联储证券有限责任公司</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center"/>
              <w:rPr>
                <w:rFonts w:ascii="宋体" w:eastAsia="宋体" w:hAnsi="宋体" w:cs="宋体"/>
                <w:sz w:val="18"/>
                <w:szCs w:val="18"/>
              </w:rPr>
            </w:pPr>
            <w:r>
              <w:rPr>
                <w:rFonts w:ascii="宋体" w:eastAsia="宋体" w:hAnsi="宋体" w:cs="宋体"/>
                <w:sz w:val="18"/>
                <w:szCs w:val="18"/>
              </w:rPr>
              <w:t>一村资本有限公司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center"/>
              <w:rPr>
                <w:rFonts w:ascii="宋体" w:eastAsia="宋体" w:hAnsi="宋体" w:cs="宋体"/>
                <w:sz w:val="18"/>
                <w:szCs w:val="18"/>
              </w:rPr>
            </w:pPr>
            <w:r>
              <w:rPr>
                <w:rFonts w:ascii="宋体" w:eastAsia="宋体" w:hAnsi="宋体" w:cs="宋体"/>
                <w:sz w:val="18"/>
                <w:szCs w:val="18"/>
              </w:rPr>
              <w:t>VENUS PEARL SPV2 CO LIMITED</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15,652,833,807.59</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765,105,637.10</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1,136,034,905.72</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14,461,003,814.77</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675,195,694.80</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939,008,284.18</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非流动资产</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4,973,804,653.47</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4,492,146,766.99</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1,194,658,566.33</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2,706,533,411.18</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4,566,051,185.17</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1,163,427,949.80</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资产合计</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20,626,638,461.06</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5,257,252,404.09</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2,330,693,472.05</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17,167,537,225.95</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5,241,246,879.97</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2,102,436,233.98</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10,534,563,580.54</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246,060,820.04</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861,700,000.86</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9,249,847,395.16</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142,433,939.04</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944,370,040.92</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非流动负债</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2,248,427,705.50</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1,432,905,839.71</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433,136,985.62</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2,194,953,067.14</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1,495,457,170.58</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411,668,688.75</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12,782,991,286.04</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1,678,966,659.75</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1,294,836,986.48</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11,444,800,462.30</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1,637,891,109.62</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1,356,038,729.67</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少数股东权益</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71,854,220.22</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73,427,753.30</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归属于母公司股东权益</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7,843,647,175.02</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3,506,431,524.12</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1,035,856,485.57</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5,722,736,763.65</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3,529,928,017.05</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746,397,504.30</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按持股比例计算的净资产份额</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919,987,877.84</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1,434,979,092.17</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291,812,073.20</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845,143,978.16</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1,444,594,801.55</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221,744,095.89</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调整事项</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356,445,739.</w:t>
            </w:r>
            <w:r>
              <w:rPr>
                <w:rFonts w:ascii="宋体" w:eastAsia="宋体" w:hAnsi="宋体" w:cs="宋体"/>
                <w:sz w:val="18"/>
                <w:szCs w:val="18"/>
              </w:rPr>
              <w:lastRenderedPageBreak/>
              <w:t>32</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lastRenderedPageBreak/>
              <w:t>-</w:t>
            </w:r>
            <w:r>
              <w:rPr>
                <w:rFonts w:ascii="宋体" w:eastAsia="宋体" w:hAnsi="宋体" w:cs="宋体"/>
                <w:sz w:val="18"/>
                <w:szCs w:val="18"/>
              </w:rPr>
              <w:lastRenderedPageBreak/>
              <w:t>137,191,034.72</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lastRenderedPageBreak/>
              <w:t>692,388,293.</w:t>
            </w:r>
            <w:r>
              <w:rPr>
                <w:rFonts w:ascii="宋体" w:eastAsia="宋体" w:hAnsi="宋体" w:cs="宋体"/>
                <w:sz w:val="18"/>
                <w:szCs w:val="18"/>
              </w:rPr>
              <w:lastRenderedPageBreak/>
              <w:t>95</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lastRenderedPageBreak/>
              <w:t>440,582,894.</w:t>
            </w:r>
            <w:r>
              <w:rPr>
                <w:rFonts w:ascii="宋体" w:eastAsia="宋体" w:hAnsi="宋体" w:cs="宋体"/>
                <w:sz w:val="18"/>
                <w:szCs w:val="18"/>
              </w:rPr>
              <w:lastRenderedPageBreak/>
              <w:t>99</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lastRenderedPageBreak/>
              <w:t>-</w:t>
            </w:r>
            <w:r>
              <w:rPr>
                <w:rFonts w:ascii="宋体" w:eastAsia="宋体" w:hAnsi="宋体" w:cs="宋体"/>
                <w:sz w:val="18"/>
                <w:szCs w:val="18"/>
              </w:rPr>
              <w:lastRenderedPageBreak/>
              <w:t>137,191,034.72</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lastRenderedPageBreak/>
              <w:t>735,742,081.</w:t>
            </w:r>
            <w:r>
              <w:rPr>
                <w:rFonts w:ascii="宋体" w:eastAsia="宋体" w:hAnsi="宋体" w:cs="宋体"/>
                <w:sz w:val="18"/>
                <w:szCs w:val="18"/>
              </w:rPr>
              <w:lastRenderedPageBreak/>
              <w:t>67</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--商誉</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--内部交易未实现利润</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对联营企业权益投资的账面价值</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1,276,433,617.16</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1,297,788,057.45</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984,200,367.15</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1,285,726,873.15</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1,307,403,766.83</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957,486,177.56</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存在公开报价的联营企业权益投资的公允价值</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营业收入</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242,192,043.66</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16,419,571.09</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735,115,183.94</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429,313,865.07</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11,896,198.88</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706,272,796.46</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净利润</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rsidP="00BF2ECB">
            <w:pPr>
              <w:spacing w:line="240" w:lineRule="exact"/>
              <w:jc w:val="right"/>
              <w:rPr>
                <w:rFonts w:ascii="宋体" w:eastAsia="宋体" w:hAnsi="宋体" w:cs="宋体"/>
                <w:sz w:val="18"/>
                <w:szCs w:val="18"/>
              </w:rPr>
            </w:pPr>
            <w:r>
              <w:rPr>
                <w:rFonts w:ascii="宋体" w:eastAsia="宋体" w:hAnsi="宋体" w:cs="宋体"/>
                <w:sz w:val="18"/>
                <w:szCs w:val="18"/>
              </w:rPr>
              <w:t>-</w:t>
            </w:r>
            <w:r w:rsidR="00BF2ECB">
              <w:rPr>
                <w:rFonts w:ascii="宋体" w:eastAsia="宋体" w:hAnsi="宋体" w:cs="宋体" w:hint="eastAsia"/>
                <w:sz w:val="18"/>
                <w:szCs w:val="18"/>
              </w:rPr>
              <w:t>89,120,076.21</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76,503,507.07</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53,013,011.03</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4,194,387.24</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32,016,369.05</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-37,716,159.58</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终止经营的净利润</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其他综合收益</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11,887,617.58</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24,372,867.62</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11,072,738.90</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52,913.57</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综合收益总额</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rsidP="00BF2ECB">
            <w:pPr>
              <w:spacing w:line="240" w:lineRule="exact"/>
              <w:jc w:val="right"/>
              <w:rPr>
                <w:rFonts w:ascii="宋体" w:eastAsia="宋体" w:hAnsi="宋体" w:cs="宋体"/>
                <w:sz w:val="18"/>
                <w:szCs w:val="18"/>
              </w:rPr>
            </w:pPr>
            <w:r>
              <w:rPr>
                <w:rFonts w:ascii="宋体" w:eastAsia="宋体" w:hAnsi="宋体" w:cs="宋体"/>
                <w:sz w:val="18"/>
                <w:szCs w:val="18"/>
              </w:rPr>
              <w:t>-77,</w:t>
            </w:r>
            <w:r w:rsidR="00BF2ECB">
              <w:rPr>
                <w:rFonts w:ascii="宋体" w:eastAsia="宋体" w:hAnsi="宋体" w:cs="宋体" w:hint="eastAsia"/>
                <w:sz w:val="18"/>
                <w:szCs w:val="18"/>
              </w:rPr>
              <w:t>232,458.63</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76,503,507.07</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77,385,878.65</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15,267,126.14</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32,069,282.62</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-37,716,159.58</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本年度收到的来自联营企业的股利</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40,924,157.62</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bl>
    <w:p w:rsidR="00F068AD" w:rsidRDefault="00CB63CD">
      <w:pPr>
        <w:keepNext/>
        <w:keepLines/>
        <w:spacing w:before="300" w:after="300" w:line="280" w:lineRule="exact"/>
        <w:outlineLvl w:val="3"/>
        <w:rPr>
          <w:rFonts w:ascii="宋体" w:eastAsia="宋体" w:hAnsi="宋体" w:cs="宋体"/>
          <w:b/>
          <w:bCs/>
          <w:szCs w:val="21"/>
        </w:rPr>
      </w:pPr>
      <w:bookmarkStart w:id="267" w:name="_Toc989158"/>
      <w:r>
        <w:rPr>
          <w:rFonts w:ascii="宋体" w:eastAsia="宋体" w:hAnsi="宋体" w:cs="宋体"/>
          <w:b/>
          <w:bCs/>
          <w:szCs w:val="21"/>
        </w:rPr>
        <w:t>（3） 不重要的合营企业和联营企业的汇总财务信息</w:t>
      </w:r>
      <w:bookmarkEnd w:id="267"/>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期初余额/上期发生额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合营企业：</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下列各项按持股比例计算的合计数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联营企业：</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投资账面价值合计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23,373,708.98</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24,099,232.04</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下列各项按持股比例计算的合计数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--净利润</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311,276.94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-190,207.39</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311,276.94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-190,207.39</w:t>
            </w:r>
          </w:p>
        </w:tc>
      </w:tr>
    </w:tbl>
    <w:p w:rsidR="00F068AD" w:rsidRDefault="005F51C0">
      <w:pPr>
        <w:spacing w:before="100" w:after="100" w:line="240" w:lineRule="exact"/>
        <w:rPr>
          <w:rFonts w:ascii="宋体" w:eastAsia="宋体" w:hAnsi="宋体" w:cs="宋体"/>
          <w:sz w:val="18"/>
          <w:szCs w:val="18"/>
        </w:rPr>
      </w:pPr>
      <w:r>
        <w:rPr>
          <w:rFonts w:ascii="宋体" w:eastAsia="宋体" w:hAnsi="宋体" w:cs="宋体" w:hint="eastAsia"/>
          <w:sz w:val="18"/>
          <w:szCs w:val="18"/>
        </w:rPr>
        <w:t xml:space="preserve">                                                                                                 单位：元</w:t>
      </w:r>
    </w:p>
    <w:tbl>
      <w:tblPr>
        <w:tblW w:w="9606" w:type="dxa"/>
        <w:tblCellMar>
          <w:left w:w="0" w:type="dxa"/>
          <w:right w:w="0" w:type="dxa"/>
        </w:tblCellMar>
        <w:tblLook w:val="04A0" w:firstRow="1" w:lastRow="0" w:firstColumn="1" w:lastColumn="0" w:noHBand="0" w:noVBand="1"/>
      </w:tblPr>
      <w:tblGrid>
        <w:gridCol w:w="3277"/>
        <w:gridCol w:w="3635"/>
        <w:gridCol w:w="2694"/>
      </w:tblGrid>
      <w:tr w:rsidR="00CB63CD" w:rsidTr="00380F15">
        <w:trPr>
          <w:divId w:val="1631861238"/>
          <w:trHeight w:val="340"/>
        </w:trPr>
        <w:tc>
          <w:tcPr>
            <w:tcW w:w="32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项  目</w:t>
            </w:r>
          </w:p>
        </w:tc>
        <w:tc>
          <w:tcPr>
            <w:tcW w:w="36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63CD" w:rsidRDefault="00CB63CD">
            <w:pPr>
              <w:pStyle w:val="a3"/>
              <w:spacing w:before="0" w:beforeAutospacing="0" w:after="0" w:afterAutospacing="0" w:line="276" w:lineRule="auto"/>
              <w:jc w:val="center"/>
              <w:rPr>
                <w:rFonts w:ascii="Times New Roman" w:hAnsi="Times New Roman" w:cs="Times New Roman"/>
                <w:sz w:val="21"/>
                <w:szCs w:val="21"/>
              </w:rPr>
            </w:pPr>
            <w:r>
              <w:rPr>
                <w:rFonts w:cs="Times New Roman" w:hint="eastAsia"/>
                <w:sz w:val="18"/>
                <w:szCs w:val="18"/>
              </w:rPr>
              <w:t>期末余额 / 本期发生额</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63CD" w:rsidRDefault="00CB63CD">
            <w:pPr>
              <w:pStyle w:val="a3"/>
              <w:spacing w:before="0" w:beforeAutospacing="0" w:after="0" w:afterAutospacing="0" w:line="276" w:lineRule="auto"/>
              <w:jc w:val="center"/>
              <w:rPr>
                <w:rFonts w:ascii="Times New Roman" w:hAnsi="Times New Roman" w:cs="Times New Roman"/>
                <w:sz w:val="21"/>
                <w:szCs w:val="21"/>
              </w:rPr>
            </w:pPr>
            <w:r>
              <w:rPr>
                <w:rFonts w:cs="Times New Roman" w:hint="eastAsia"/>
                <w:sz w:val="18"/>
                <w:szCs w:val="18"/>
              </w:rPr>
              <w:t>期初余额 / 上期发生额</w:t>
            </w:r>
          </w:p>
        </w:tc>
      </w:tr>
      <w:tr w:rsidR="00CB63CD" w:rsidTr="00380F15">
        <w:trPr>
          <w:divId w:val="1631861238"/>
          <w:trHeight w:val="340"/>
        </w:trPr>
        <w:tc>
          <w:tcPr>
            <w:tcW w:w="32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sz w:val="18"/>
                <w:szCs w:val="18"/>
              </w:rPr>
              <w:t>联营企业</w:t>
            </w:r>
          </w:p>
        </w:tc>
        <w:tc>
          <w:tcPr>
            <w:tcW w:w="3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sz w:val="18"/>
                <w:szCs w:val="18"/>
              </w:rPr>
              <w:t> </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sz w:val="18"/>
                <w:szCs w:val="18"/>
              </w:rPr>
              <w:t> </w:t>
            </w:r>
          </w:p>
        </w:tc>
      </w:tr>
      <w:tr w:rsidR="00CB63CD" w:rsidTr="00380F15">
        <w:trPr>
          <w:divId w:val="1631861238"/>
          <w:trHeight w:val="340"/>
        </w:trPr>
        <w:tc>
          <w:tcPr>
            <w:tcW w:w="32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sz w:val="18"/>
                <w:szCs w:val="18"/>
              </w:rPr>
              <w:t>云南屏边华西村矿业有限公司</w:t>
            </w:r>
          </w:p>
        </w:tc>
        <w:tc>
          <w:tcPr>
            <w:tcW w:w="3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18,681,603.70</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18,690,464.00</w:t>
            </w:r>
          </w:p>
        </w:tc>
      </w:tr>
      <w:tr w:rsidR="00CB63CD" w:rsidTr="00380F15">
        <w:trPr>
          <w:divId w:val="1631861238"/>
          <w:trHeight w:val="340"/>
        </w:trPr>
        <w:tc>
          <w:tcPr>
            <w:tcW w:w="32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江阴华西船务有限公司</w:t>
            </w:r>
            <w:r>
              <w:rPr>
                <w:rFonts w:ascii="Times New Roman" w:hAnsi="Times New Roman" w:cs="Times New Roman"/>
                <w:color w:val="000000"/>
                <w:sz w:val="18"/>
                <w:szCs w:val="18"/>
              </w:rPr>
              <w:t xml:space="preserve"> </w:t>
            </w:r>
          </w:p>
        </w:tc>
        <w:tc>
          <w:tcPr>
            <w:tcW w:w="3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4,692,105.28</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5,408,768.04</w:t>
            </w:r>
          </w:p>
        </w:tc>
      </w:tr>
      <w:tr w:rsidR="00CB63CD" w:rsidTr="00380F15">
        <w:trPr>
          <w:divId w:val="1631861238"/>
          <w:trHeight w:val="340"/>
        </w:trPr>
        <w:tc>
          <w:tcPr>
            <w:tcW w:w="327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sz w:val="18"/>
                <w:szCs w:val="18"/>
              </w:rPr>
              <w:t>投资账面价值合计</w:t>
            </w:r>
          </w:p>
        </w:tc>
        <w:tc>
          <w:tcPr>
            <w:tcW w:w="363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23,373,708.98</w:t>
            </w:r>
          </w:p>
        </w:tc>
        <w:tc>
          <w:tcPr>
            <w:tcW w:w="269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24,099,232.04</w:t>
            </w:r>
          </w:p>
        </w:tc>
      </w:tr>
      <w:tr w:rsidR="00CB63CD" w:rsidTr="00380F15">
        <w:trPr>
          <w:divId w:val="1631861238"/>
          <w:trHeight w:val="340"/>
        </w:trPr>
        <w:tc>
          <w:tcPr>
            <w:tcW w:w="3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sz w:val="18"/>
                <w:szCs w:val="18"/>
              </w:rPr>
              <w:t>下列各项按持股比例计算的合计数</w:t>
            </w:r>
          </w:p>
        </w:tc>
        <w:tc>
          <w:tcPr>
            <w:tcW w:w="3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 xml:space="preserve">　</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 xml:space="preserve">　</w:t>
            </w:r>
          </w:p>
        </w:tc>
      </w:tr>
      <w:tr w:rsidR="00CB63CD" w:rsidTr="00380F15">
        <w:trPr>
          <w:divId w:val="1631861238"/>
          <w:trHeight w:val="340"/>
        </w:trPr>
        <w:tc>
          <w:tcPr>
            <w:tcW w:w="327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sz w:val="18"/>
                <w:szCs w:val="18"/>
              </w:rPr>
              <w:lastRenderedPageBreak/>
              <w:t>净利润</w:t>
            </w:r>
          </w:p>
        </w:tc>
        <w:tc>
          <w:tcPr>
            <w:tcW w:w="363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311,276.94</w:t>
            </w:r>
          </w:p>
        </w:tc>
        <w:tc>
          <w:tcPr>
            <w:tcW w:w="269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-190,207.39</w:t>
            </w:r>
          </w:p>
        </w:tc>
      </w:tr>
      <w:tr w:rsidR="00CB63CD" w:rsidTr="00380F15">
        <w:trPr>
          <w:divId w:val="1631861238"/>
          <w:trHeight w:val="340"/>
        </w:trPr>
        <w:tc>
          <w:tcPr>
            <w:tcW w:w="32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sz w:val="18"/>
                <w:szCs w:val="18"/>
              </w:rPr>
              <w:t>其他综合收益</w:t>
            </w:r>
          </w:p>
        </w:tc>
        <w:tc>
          <w:tcPr>
            <w:tcW w:w="3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 xml:space="preserve">                   </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 xml:space="preserve">　</w:t>
            </w:r>
          </w:p>
        </w:tc>
      </w:tr>
      <w:tr w:rsidR="00CB63CD" w:rsidTr="00380F15">
        <w:trPr>
          <w:divId w:val="1631861238"/>
          <w:trHeight w:val="340"/>
        </w:trPr>
        <w:tc>
          <w:tcPr>
            <w:tcW w:w="32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sz w:val="18"/>
                <w:szCs w:val="18"/>
              </w:rPr>
              <w:t>综合收益总额</w:t>
            </w:r>
          </w:p>
        </w:tc>
        <w:tc>
          <w:tcPr>
            <w:tcW w:w="3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311,276.94</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-190,207.39</w:t>
            </w:r>
          </w:p>
        </w:tc>
      </w:tr>
    </w:tbl>
    <w:p w:rsidR="00CB63CD" w:rsidRDefault="00CB63CD">
      <w:pPr>
        <w:divId w:val="1631861238"/>
        <w:rPr>
          <w:sz w:val="24"/>
          <w:szCs w:val="24"/>
        </w:rPr>
      </w:pPr>
    </w:p>
    <w:p w:rsidR="00F068AD" w:rsidRDefault="00CB63CD">
      <w:pPr>
        <w:pStyle w:val="2"/>
        <w:spacing w:before="300" w:after="300" w:line="320" w:lineRule="exact"/>
        <w:rPr>
          <w:rFonts w:ascii="宋体" w:eastAsia="宋体" w:hAnsi="宋体" w:cs="宋体"/>
          <w:b/>
          <w:bCs/>
          <w:sz w:val="24"/>
          <w:szCs w:val="24"/>
        </w:rPr>
      </w:pPr>
      <w:bookmarkStart w:id="268" w:name="_Toc989159"/>
      <w:r>
        <w:rPr>
          <w:rFonts w:ascii="宋体" w:eastAsia="宋体" w:hAnsi="宋体" w:cs="宋体"/>
          <w:b/>
          <w:bCs/>
          <w:sz w:val="24"/>
          <w:szCs w:val="24"/>
        </w:rPr>
        <w:t>十、与金融工具相关的风险</w:t>
      </w:r>
      <w:bookmarkEnd w:id="268"/>
    </w:p>
    <w:p w:rsidR="00CB63CD" w:rsidRDefault="00CB63CD">
      <w:pPr>
        <w:spacing w:before="100" w:beforeAutospacing="1" w:after="100" w:afterAutospacing="1" w:line="360" w:lineRule="auto"/>
        <w:ind w:firstLine="360"/>
        <w:divId w:val="1133477480"/>
      </w:pPr>
      <w:r>
        <w:rPr>
          <w:rFonts w:hint="eastAsia"/>
          <w:sz w:val="18"/>
          <w:szCs w:val="18"/>
        </w:rPr>
        <w:t>公司的主要金融工具包括权益投资、期货、交易性金融资产、应收款项融资、借款、应收及其他应收款、应付账款、其他应付款及银行存款等。相关金融工具详情于各附注披露。与这些金融工具有关的风险，以及公司为降低这些风险所采取的风险管理政策如下所述。公司管理层对这些风险敞口进行管理和监控以确保将上述风险控制在限定的范围之内。</w:t>
      </w:r>
    </w:p>
    <w:p w:rsidR="00CB63CD" w:rsidRDefault="00CB63CD">
      <w:pPr>
        <w:spacing w:before="100" w:beforeAutospacing="1" w:after="100" w:afterAutospacing="1" w:line="360" w:lineRule="auto"/>
        <w:ind w:firstLine="364"/>
        <w:divId w:val="1133477480"/>
      </w:pPr>
      <w:r>
        <w:rPr>
          <w:rFonts w:hint="eastAsia"/>
          <w:sz w:val="18"/>
          <w:szCs w:val="18"/>
        </w:rPr>
        <w:t>公司采用敏感性分析技术分析风险变量的合理、可能变化对当期损益或股东权益可能产生的影响。由于任何风险变量很少孤立地发生变化，而变量之间存在的相关性对某一风险变量的变化的最终影响金额将产生重大作用，因此下述内容是在假设每一变量的变化是在独立的情况下进行的。</w:t>
      </w:r>
    </w:p>
    <w:p w:rsidR="00CB63CD" w:rsidRDefault="00CB63CD">
      <w:pPr>
        <w:spacing w:before="100" w:beforeAutospacing="1" w:after="100" w:afterAutospacing="1" w:line="360" w:lineRule="auto"/>
        <w:ind w:firstLine="365"/>
        <w:divId w:val="1133477480"/>
      </w:pPr>
      <w:r>
        <w:rPr>
          <w:rStyle w:val="a4"/>
          <w:rFonts w:hint="eastAsia"/>
          <w:sz w:val="18"/>
          <w:szCs w:val="18"/>
        </w:rPr>
        <w:t>1</w:t>
      </w:r>
      <w:r>
        <w:rPr>
          <w:rStyle w:val="a4"/>
          <w:rFonts w:hint="eastAsia"/>
          <w:sz w:val="18"/>
          <w:szCs w:val="18"/>
        </w:rPr>
        <w:t>、市场风险</w:t>
      </w:r>
    </w:p>
    <w:p w:rsidR="00CB63CD" w:rsidRPr="0021611F" w:rsidRDefault="00CB63CD">
      <w:pPr>
        <w:spacing w:before="100" w:beforeAutospacing="1" w:after="100" w:afterAutospacing="1" w:line="360" w:lineRule="auto"/>
        <w:ind w:firstLine="364"/>
        <w:divId w:val="1133477480"/>
        <w:rPr>
          <w:rFonts w:asciiTheme="minorEastAsia" w:hAnsiTheme="minorEastAsia"/>
        </w:rPr>
      </w:pPr>
      <w:r w:rsidRPr="0021611F">
        <w:rPr>
          <w:rFonts w:asciiTheme="minorEastAsia" w:hAnsiTheme="minorEastAsia" w:hint="eastAsia"/>
          <w:sz w:val="18"/>
          <w:szCs w:val="18"/>
        </w:rPr>
        <w:t>（1）外汇风险，外汇风险是指影响公司财务成果和现金流的外汇汇率的变动中的风险。本公司承受外汇风险主要与所持有美元银行存款、应收账款和应付账款有关，由于美元与公司的功能货币之间的汇率变动使本公司面临外汇风险。但公司管理层认为，该等美元银行存款、应收账款和应付账款于本公司总资产所占比例较小，约3%左右，本公司主要经营活动均以人民币结算，本公司所面临的外汇风险并不重大。于资产负债表日，公司外币资产及外币负债折算成人民币余额如下：</w:t>
      </w:r>
    </w:p>
    <w:tbl>
      <w:tblPr>
        <w:tblW w:w="9464" w:type="dxa"/>
        <w:tblCellMar>
          <w:left w:w="0" w:type="dxa"/>
          <w:right w:w="0" w:type="dxa"/>
        </w:tblCellMar>
        <w:tblLook w:val="04A0" w:firstRow="1" w:lastRow="0" w:firstColumn="1" w:lastColumn="0" w:noHBand="0" w:noVBand="1"/>
      </w:tblPr>
      <w:tblGrid>
        <w:gridCol w:w="1418"/>
        <w:gridCol w:w="2092"/>
        <w:gridCol w:w="1843"/>
        <w:gridCol w:w="1843"/>
        <w:gridCol w:w="2268"/>
      </w:tblGrid>
      <w:tr w:rsidR="00CB63CD" w:rsidTr="00380F15">
        <w:trPr>
          <w:divId w:val="1133477480"/>
          <w:trHeight w:val="340"/>
          <w:tblHeader/>
        </w:trPr>
        <w:tc>
          <w:tcPr>
            <w:tcW w:w="141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项  目</w:t>
            </w:r>
          </w:p>
        </w:tc>
        <w:tc>
          <w:tcPr>
            <w:tcW w:w="39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资产</w:t>
            </w:r>
          </w:p>
        </w:tc>
        <w:tc>
          <w:tcPr>
            <w:tcW w:w="41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负债</w:t>
            </w:r>
          </w:p>
        </w:tc>
      </w:tr>
      <w:tr w:rsidR="00CB63CD" w:rsidTr="00380F15">
        <w:trPr>
          <w:divId w:val="1133477480"/>
          <w:trHeight w:val="34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B63CD" w:rsidRDefault="00CB63CD">
            <w:pPr>
              <w:rPr>
                <w:rFonts w:ascii="Times New Roman" w:eastAsia="宋体" w:hAnsi="Times New Roman" w:cs="Times New Roman"/>
                <w:szCs w:val="21"/>
              </w:rPr>
            </w:pPr>
          </w:p>
        </w:tc>
        <w:tc>
          <w:tcPr>
            <w:tcW w:w="2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期末余额</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期初余额</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期末余额</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期初余额</w:t>
            </w:r>
          </w:p>
        </w:tc>
      </w:tr>
      <w:tr w:rsidR="00CB63CD" w:rsidTr="00380F15">
        <w:trPr>
          <w:divId w:val="1133477480"/>
          <w:trHeight w:val="34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sz w:val="18"/>
                <w:szCs w:val="18"/>
              </w:rPr>
              <w:t>美元</w:t>
            </w:r>
          </w:p>
        </w:tc>
        <w:tc>
          <w:tcPr>
            <w:tcW w:w="20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 xml:space="preserve">219,673,213.39 </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117,606,011.47</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16,150,190.95</w:t>
            </w:r>
          </w:p>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16,951,583.33</w:t>
            </w:r>
          </w:p>
        </w:tc>
      </w:tr>
      <w:tr w:rsidR="00CB63CD" w:rsidTr="00380F15">
        <w:trPr>
          <w:divId w:val="1133477480"/>
          <w:trHeight w:val="34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sz w:val="18"/>
                <w:szCs w:val="18"/>
              </w:rPr>
              <w:t>欧元</w:t>
            </w:r>
          </w:p>
        </w:tc>
        <w:tc>
          <w:tcPr>
            <w:tcW w:w="20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 xml:space="preserve">20,269,535.53 </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2,006,083.31</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 </w:t>
            </w:r>
          </w:p>
        </w:tc>
      </w:tr>
    </w:tbl>
    <w:p w:rsidR="00CB63CD" w:rsidRPr="0021611F" w:rsidRDefault="00CB63CD">
      <w:pPr>
        <w:spacing w:before="100" w:beforeAutospacing="1" w:after="100" w:afterAutospacing="1" w:line="360" w:lineRule="auto"/>
        <w:ind w:firstLine="364"/>
        <w:divId w:val="1133477480"/>
        <w:rPr>
          <w:rFonts w:asciiTheme="minorEastAsia" w:hAnsiTheme="minorEastAsia"/>
          <w:sz w:val="24"/>
          <w:szCs w:val="24"/>
        </w:rPr>
      </w:pPr>
      <w:r w:rsidRPr="0021611F">
        <w:rPr>
          <w:rFonts w:asciiTheme="minorEastAsia" w:hAnsiTheme="minorEastAsia" w:hint="eastAsia"/>
          <w:sz w:val="18"/>
          <w:szCs w:val="18"/>
        </w:rPr>
        <w:t>敏感性分析公司承受外汇风险主要与相关外币与人民币的汇率变化有关。下表列示了公司相关外币与人民币汇率变动1%假设下的敏感性分析。在管理层进行敏感性分析时，1%的增减变动被认为合理反映了汇率变化的可能范围。汇率可能发生的合理变动对当期归属于母公司净利润的影响如下：</w:t>
      </w:r>
    </w:p>
    <w:tbl>
      <w:tblPr>
        <w:tblW w:w="9464" w:type="dxa"/>
        <w:tblCellMar>
          <w:left w:w="0" w:type="dxa"/>
          <w:right w:w="0" w:type="dxa"/>
        </w:tblCellMar>
        <w:tblLook w:val="04A0" w:firstRow="1" w:lastRow="0" w:firstColumn="1" w:lastColumn="0" w:noHBand="0" w:noVBand="1"/>
      </w:tblPr>
      <w:tblGrid>
        <w:gridCol w:w="2410"/>
        <w:gridCol w:w="3368"/>
        <w:gridCol w:w="3686"/>
      </w:tblGrid>
      <w:tr w:rsidR="00CB63CD" w:rsidTr="00380F15">
        <w:trPr>
          <w:divId w:val="1133477480"/>
          <w:trHeight w:val="340"/>
        </w:trPr>
        <w:tc>
          <w:tcPr>
            <w:tcW w:w="241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美元</w:t>
            </w:r>
          </w:p>
        </w:tc>
        <w:tc>
          <w:tcPr>
            <w:tcW w:w="705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利润增加/减少</w:t>
            </w:r>
          </w:p>
        </w:tc>
      </w:tr>
      <w:tr w:rsidR="00CB63CD" w:rsidTr="00380F15">
        <w:trPr>
          <w:divId w:val="1133477480"/>
          <w:trHeight w:val="340"/>
        </w:trPr>
        <w:tc>
          <w:tcPr>
            <w:tcW w:w="0" w:type="auto"/>
            <w:vMerge/>
            <w:tcBorders>
              <w:top w:val="single" w:sz="8" w:space="0" w:color="auto"/>
              <w:left w:val="single" w:sz="8" w:space="0" w:color="auto"/>
              <w:bottom w:val="single" w:sz="8" w:space="0" w:color="auto"/>
              <w:right w:val="single" w:sz="8" w:space="0" w:color="auto"/>
            </w:tcBorders>
            <w:vAlign w:val="center"/>
            <w:hideMark/>
          </w:tcPr>
          <w:p w:rsidR="00CB63CD" w:rsidRDefault="00CB63CD">
            <w:pPr>
              <w:rPr>
                <w:rFonts w:ascii="Times New Roman" w:eastAsia="宋体" w:hAnsi="Times New Roman" w:cs="Times New Roman"/>
                <w:szCs w:val="21"/>
              </w:rPr>
            </w:pPr>
          </w:p>
        </w:tc>
        <w:tc>
          <w:tcPr>
            <w:tcW w:w="3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本期金额</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上期金额</w:t>
            </w:r>
          </w:p>
        </w:tc>
      </w:tr>
      <w:tr w:rsidR="00CB63CD" w:rsidTr="00380F15">
        <w:trPr>
          <w:divId w:val="1133477480"/>
          <w:trHeight w:val="340"/>
        </w:trPr>
        <w:tc>
          <w:tcPr>
            <w:tcW w:w="241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rPr>
                <w:rFonts w:ascii="Times New Roman" w:hAnsi="Times New Roman" w:cs="Times New Roman"/>
                <w:sz w:val="21"/>
                <w:szCs w:val="21"/>
              </w:rPr>
            </w:pPr>
            <w:r>
              <w:rPr>
                <w:rFonts w:cs="Times New Roman" w:hint="eastAsia"/>
                <w:sz w:val="18"/>
                <w:szCs w:val="18"/>
              </w:rPr>
              <w:t>人民币贬值</w:t>
            </w:r>
          </w:p>
        </w:tc>
        <w:tc>
          <w:tcPr>
            <w:tcW w:w="336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1,678,444.18</w:t>
            </w:r>
          </w:p>
        </w:tc>
        <w:tc>
          <w:tcPr>
            <w:tcW w:w="3686" w:type="dxa"/>
            <w:tcBorders>
              <w:top w:val="nil"/>
              <w:left w:val="nil"/>
              <w:bottom w:val="single" w:sz="4" w:space="0" w:color="auto"/>
              <w:right w:val="single" w:sz="8" w:space="0" w:color="auto"/>
            </w:tcBorders>
            <w:tcMar>
              <w:top w:w="0" w:type="dxa"/>
              <w:left w:w="108" w:type="dxa"/>
              <w:bottom w:w="0" w:type="dxa"/>
              <w:right w:w="108" w:type="dxa"/>
            </w:tcMa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1,366,854.39</w:t>
            </w:r>
          </w:p>
        </w:tc>
      </w:tr>
      <w:tr w:rsidR="00CB63CD" w:rsidTr="00380F15">
        <w:trPr>
          <w:divId w:val="1133477480"/>
          <w:trHeight w:val="340"/>
        </w:trPr>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rPr>
                <w:rFonts w:ascii="Times New Roman" w:hAnsi="Times New Roman" w:cs="Times New Roman"/>
                <w:sz w:val="21"/>
                <w:szCs w:val="21"/>
              </w:rPr>
            </w:pPr>
            <w:r>
              <w:rPr>
                <w:rFonts w:cs="Times New Roman" w:hint="eastAsia"/>
                <w:sz w:val="18"/>
                <w:szCs w:val="18"/>
              </w:rPr>
              <w:lastRenderedPageBreak/>
              <w:t>人民币升值</w:t>
            </w:r>
          </w:p>
        </w:tc>
        <w:tc>
          <w:tcPr>
            <w:tcW w:w="3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-1,678,444.18</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-1,366,854.39</w:t>
            </w:r>
          </w:p>
        </w:tc>
      </w:tr>
    </w:tbl>
    <w:p w:rsidR="00CB63CD" w:rsidRPr="0021611F" w:rsidRDefault="00CB63CD">
      <w:pPr>
        <w:spacing w:before="120" w:after="100" w:afterAutospacing="1" w:line="360" w:lineRule="auto"/>
        <w:ind w:firstLine="364"/>
        <w:divId w:val="1133477480"/>
        <w:rPr>
          <w:rFonts w:asciiTheme="minorEastAsia" w:hAnsiTheme="minorEastAsia"/>
          <w:sz w:val="24"/>
          <w:szCs w:val="24"/>
        </w:rPr>
      </w:pPr>
      <w:r w:rsidRPr="0021611F">
        <w:rPr>
          <w:rFonts w:asciiTheme="minorEastAsia" w:hAnsiTheme="minorEastAsia" w:hint="eastAsia"/>
          <w:sz w:val="18"/>
          <w:szCs w:val="18"/>
        </w:rPr>
        <w:t>（2）利率风险－公允价值变动风险</w:t>
      </w:r>
    </w:p>
    <w:p w:rsidR="00CB63CD" w:rsidRPr="0021611F" w:rsidRDefault="00CB63CD">
      <w:pPr>
        <w:spacing w:before="100" w:beforeAutospacing="1" w:after="100" w:afterAutospacing="1" w:line="360" w:lineRule="auto"/>
        <w:ind w:firstLine="360"/>
        <w:divId w:val="1133477480"/>
        <w:rPr>
          <w:rFonts w:asciiTheme="minorEastAsia" w:hAnsiTheme="minorEastAsia"/>
        </w:rPr>
      </w:pPr>
      <w:r w:rsidRPr="0021611F">
        <w:rPr>
          <w:rFonts w:asciiTheme="minorEastAsia" w:hAnsiTheme="minorEastAsia" w:hint="eastAsia"/>
          <w:sz w:val="18"/>
          <w:szCs w:val="18"/>
        </w:rPr>
        <w:t>公司的因利率变动引起金融工具公允价值变动的风险主要来自固定利率的短期借款。公司管理层认为利率风险-公允价值变动风险并不重大。公司目前并无利率对冲的政策。</w:t>
      </w:r>
    </w:p>
    <w:p w:rsidR="00CB63CD" w:rsidRPr="0021611F" w:rsidRDefault="00CB63CD">
      <w:pPr>
        <w:spacing w:before="100" w:beforeAutospacing="1" w:after="100" w:afterAutospacing="1" w:line="360" w:lineRule="auto"/>
        <w:ind w:firstLine="360"/>
        <w:divId w:val="1133477480"/>
        <w:rPr>
          <w:rFonts w:asciiTheme="minorEastAsia" w:hAnsiTheme="minorEastAsia"/>
        </w:rPr>
      </w:pPr>
      <w:r w:rsidRPr="0021611F">
        <w:rPr>
          <w:rFonts w:asciiTheme="minorEastAsia" w:hAnsiTheme="minorEastAsia" w:hint="eastAsia"/>
          <w:sz w:val="18"/>
          <w:szCs w:val="18"/>
        </w:rPr>
        <w:t>（3）利率风险－现金流量变动风险</w:t>
      </w:r>
    </w:p>
    <w:p w:rsidR="00CB63CD" w:rsidRPr="0021611F" w:rsidRDefault="00CB63CD">
      <w:pPr>
        <w:spacing w:before="100" w:beforeAutospacing="1" w:after="100" w:afterAutospacing="1" w:line="360" w:lineRule="auto"/>
        <w:ind w:firstLine="360"/>
        <w:divId w:val="1133477480"/>
        <w:rPr>
          <w:rFonts w:asciiTheme="minorEastAsia" w:hAnsiTheme="minorEastAsia"/>
        </w:rPr>
      </w:pPr>
      <w:r w:rsidRPr="0021611F">
        <w:rPr>
          <w:rFonts w:asciiTheme="minorEastAsia" w:hAnsiTheme="minorEastAsia" w:hint="eastAsia"/>
          <w:sz w:val="18"/>
          <w:szCs w:val="18"/>
        </w:rPr>
        <w:t>公司因利率变动引起金融工具现金流量变动的风险主要与以浮动利率计息的银行借款有关。公司本期无以浮动利率计息的银行借款。</w:t>
      </w:r>
    </w:p>
    <w:p w:rsidR="00CB63CD" w:rsidRPr="0021611F" w:rsidRDefault="00CB63CD">
      <w:pPr>
        <w:spacing w:before="100" w:beforeAutospacing="1" w:after="100" w:afterAutospacing="1" w:line="360" w:lineRule="auto"/>
        <w:ind w:firstLine="360"/>
        <w:divId w:val="1133477480"/>
        <w:rPr>
          <w:rFonts w:asciiTheme="minorEastAsia" w:hAnsiTheme="minorEastAsia"/>
        </w:rPr>
      </w:pPr>
      <w:r w:rsidRPr="0021611F">
        <w:rPr>
          <w:rFonts w:asciiTheme="minorEastAsia" w:hAnsiTheme="minorEastAsia" w:hint="eastAsia"/>
          <w:sz w:val="18"/>
          <w:szCs w:val="18"/>
        </w:rPr>
        <w:t>（4）其他价格风险公司持有的分类为交易性金融资产、应收款项融资和其他非流动金融资产等金融资产，在资产负债表日以其公允价值列示。因此，公司面临价格风险。公司已于公司内部成立投资管理部，由指定成员密切监控投资产品之价格变动。因此公司董事认为公司面临之价格风险已被缓解。</w:t>
      </w:r>
    </w:p>
    <w:p w:rsidR="00CB63CD" w:rsidRPr="0021611F" w:rsidRDefault="00CB63CD">
      <w:pPr>
        <w:spacing w:before="100" w:beforeAutospacing="1" w:after="100" w:afterAutospacing="1" w:line="360" w:lineRule="auto"/>
        <w:ind w:firstLine="364"/>
        <w:divId w:val="1133477480"/>
        <w:rPr>
          <w:rFonts w:asciiTheme="minorEastAsia" w:hAnsiTheme="minorEastAsia"/>
        </w:rPr>
      </w:pPr>
      <w:r w:rsidRPr="0021611F">
        <w:rPr>
          <w:rFonts w:asciiTheme="minorEastAsia" w:hAnsiTheme="minorEastAsia" w:hint="eastAsia"/>
          <w:sz w:val="18"/>
          <w:szCs w:val="18"/>
        </w:rPr>
        <w:t>敏感性分析</w:t>
      </w:r>
    </w:p>
    <w:p w:rsidR="00CB63CD" w:rsidRPr="0021611F" w:rsidRDefault="00CB63CD">
      <w:pPr>
        <w:spacing w:before="100" w:beforeAutospacing="1" w:after="100" w:afterAutospacing="1" w:line="360" w:lineRule="auto"/>
        <w:ind w:firstLine="364"/>
        <w:divId w:val="1133477480"/>
        <w:rPr>
          <w:rFonts w:asciiTheme="minorEastAsia" w:hAnsiTheme="minorEastAsia"/>
        </w:rPr>
      </w:pPr>
      <w:r w:rsidRPr="0021611F">
        <w:rPr>
          <w:rFonts w:asciiTheme="minorEastAsia" w:hAnsiTheme="minorEastAsia" w:hint="eastAsia"/>
          <w:sz w:val="18"/>
          <w:szCs w:val="18"/>
        </w:rPr>
        <w:t>于2022年6月30日，如上述公允价值计价的交易性金融资产中理财产品、货币基金利率上升/下降50个基点；以公允价值计价的交易性金融资产中权益工具投资、以公允价值计价的债权投资、以公允价值计价的其他非流动金融资产的价格升高/降低10%，则公司的归属于母公司股东权益的增减变动情况如下：</w:t>
      </w:r>
    </w:p>
    <w:tbl>
      <w:tblPr>
        <w:tblW w:w="9322" w:type="dxa"/>
        <w:tblCellMar>
          <w:left w:w="0" w:type="dxa"/>
          <w:right w:w="0" w:type="dxa"/>
        </w:tblCellMar>
        <w:tblLook w:val="04A0" w:firstRow="1" w:lastRow="0" w:firstColumn="1" w:lastColumn="0" w:noHBand="0" w:noVBand="1"/>
      </w:tblPr>
      <w:tblGrid>
        <w:gridCol w:w="4679"/>
        <w:gridCol w:w="2233"/>
        <w:gridCol w:w="2410"/>
      </w:tblGrid>
      <w:tr w:rsidR="00CB63CD" w:rsidTr="00380F15">
        <w:trPr>
          <w:divId w:val="1133477480"/>
        </w:trPr>
        <w:tc>
          <w:tcPr>
            <w:tcW w:w="467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金融资产</w:t>
            </w:r>
          </w:p>
        </w:tc>
        <w:tc>
          <w:tcPr>
            <w:tcW w:w="22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价格升高</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价格降低</w:t>
            </w:r>
          </w:p>
        </w:tc>
      </w:tr>
      <w:tr w:rsidR="00CB63CD" w:rsidTr="00380F15">
        <w:trPr>
          <w:divId w:val="1133477480"/>
        </w:trPr>
        <w:tc>
          <w:tcPr>
            <w:tcW w:w="0" w:type="auto"/>
            <w:vMerge/>
            <w:tcBorders>
              <w:top w:val="single" w:sz="8" w:space="0" w:color="auto"/>
              <w:left w:val="single" w:sz="8" w:space="0" w:color="auto"/>
              <w:bottom w:val="single" w:sz="8" w:space="0" w:color="auto"/>
              <w:right w:val="single" w:sz="8" w:space="0" w:color="auto"/>
            </w:tcBorders>
            <w:vAlign w:val="center"/>
            <w:hideMark/>
          </w:tcPr>
          <w:p w:rsidR="00CB63CD" w:rsidRDefault="00CB63CD">
            <w:pPr>
              <w:rPr>
                <w:rFonts w:ascii="Times New Roman" w:eastAsia="宋体" w:hAnsi="Times New Roman" w:cs="Times New Roman"/>
                <w:szCs w:val="21"/>
              </w:rPr>
            </w:pPr>
          </w:p>
        </w:tc>
        <w:tc>
          <w:tcPr>
            <w:tcW w:w="22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归母股东权益增加</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归母股东权益减少</w:t>
            </w:r>
          </w:p>
        </w:tc>
      </w:tr>
      <w:tr w:rsidR="00CB63CD" w:rsidTr="00380F15">
        <w:trPr>
          <w:divId w:val="1133477480"/>
        </w:trPr>
        <w:tc>
          <w:tcPr>
            <w:tcW w:w="46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以公允价值计量且其变动计入当期损益的金融资产</w:t>
            </w:r>
          </w:p>
        </w:tc>
        <w:tc>
          <w:tcPr>
            <w:tcW w:w="2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30,445,833.86</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-30,445,833.86</w:t>
            </w:r>
          </w:p>
        </w:tc>
      </w:tr>
      <w:tr w:rsidR="00CB63CD" w:rsidTr="00380F15">
        <w:trPr>
          <w:divId w:val="1133477480"/>
        </w:trPr>
        <w:tc>
          <w:tcPr>
            <w:tcW w:w="46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以公允价值计量的其他非流动金融资产</w:t>
            </w:r>
          </w:p>
        </w:tc>
        <w:tc>
          <w:tcPr>
            <w:tcW w:w="2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53,122,706.01</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-53,122,706.01</w:t>
            </w:r>
          </w:p>
        </w:tc>
      </w:tr>
    </w:tbl>
    <w:p w:rsidR="00CB63CD" w:rsidRPr="0021611F" w:rsidRDefault="00CB63CD">
      <w:pPr>
        <w:spacing w:before="100" w:beforeAutospacing="1" w:after="100" w:afterAutospacing="1" w:line="360" w:lineRule="auto"/>
        <w:ind w:firstLine="365"/>
        <w:divId w:val="1133477480"/>
        <w:rPr>
          <w:rFonts w:asciiTheme="minorEastAsia" w:hAnsiTheme="minorEastAsia"/>
          <w:sz w:val="24"/>
          <w:szCs w:val="24"/>
        </w:rPr>
      </w:pPr>
      <w:r w:rsidRPr="0021611F">
        <w:rPr>
          <w:rStyle w:val="a4"/>
          <w:rFonts w:asciiTheme="minorEastAsia" w:hAnsiTheme="minorEastAsia" w:hint="eastAsia"/>
          <w:sz w:val="18"/>
          <w:szCs w:val="18"/>
        </w:rPr>
        <w:t>2、信用风险</w:t>
      </w:r>
    </w:p>
    <w:p w:rsidR="00CB63CD" w:rsidRPr="0021611F" w:rsidRDefault="00CB63CD">
      <w:pPr>
        <w:spacing w:before="100" w:beforeAutospacing="1" w:after="100" w:afterAutospacing="1" w:line="360" w:lineRule="auto"/>
        <w:ind w:firstLine="364"/>
        <w:divId w:val="1133477480"/>
        <w:rPr>
          <w:rFonts w:asciiTheme="minorEastAsia" w:hAnsiTheme="minorEastAsia"/>
        </w:rPr>
      </w:pPr>
      <w:r w:rsidRPr="0021611F">
        <w:rPr>
          <w:rFonts w:asciiTheme="minorEastAsia" w:hAnsiTheme="minorEastAsia" w:hint="eastAsia"/>
          <w:sz w:val="18"/>
          <w:szCs w:val="18"/>
        </w:rPr>
        <w:t>信用风险，是指金融工具的一方不能履行义务，造成另一方发生财务损失的风险。</w:t>
      </w:r>
    </w:p>
    <w:p w:rsidR="00CB63CD" w:rsidRPr="0021611F" w:rsidRDefault="00CB63CD">
      <w:pPr>
        <w:spacing w:before="100" w:beforeAutospacing="1" w:after="100" w:afterAutospacing="1" w:line="360" w:lineRule="auto"/>
        <w:ind w:firstLine="364"/>
        <w:divId w:val="1133477480"/>
        <w:rPr>
          <w:rFonts w:asciiTheme="minorEastAsia" w:hAnsiTheme="minorEastAsia"/>
        </w:rPr>
      </w:pPr>
      <w:r w:rsidRPr="0021611F">
        <w:rPr>
          <w:rFonts w:asciiTheme="minorEastAsia" w:hAnsiTheme="minorEastAsia" w:hint="eastAsia"/>
          <w:sz w:val="18"/>
          <w:szCs w:val="18"/>
        </w:rPr>
        <w:t xml:space="preserve">1、 信用风险管理实务 </w:t>
      </w:r>
    </w:p>
    <w:p w:rsidR="00CB63CD" w:rsidRPr="0021611F" w:rsidRDefault="00CB63CD">
      <w:pPr>
        <w:spacing w:before="100" w:beforeAutospacing="1" w:after="100" w:afterAutospacing="1" w:line="360" w:lineRule="auto"/>
        <w:ind w:firstLine="364"/>
        <w:divId w:val="1133477480"/>
        <w:rPr>
          <w:rFonts w:asciiTheme="minorEastAsia" w:hAnsiTheme="minorEastAsia"/>
        </w:rPr>
      </w:pPr>
      <w:r w:rsidRPr="0021611F">
        <w:rPr>
          <w:rFonts w:asciiTheme="minorEastAsia" w:hAnsiTheme="minorEastAsia" w:hint="eastAsia"/>
          <w:sz w:val="18"/>
          <w:szCs w:val="18"/>
        </w:rPr>
        <w:t xml:space="preserve">（1）信用风险的评价方法 </w:t>
      </w:r>
    </w:p>
    <w:p w:rsidR="00CB63CD" w:rsidRPr="0021611F" w:rsidRDefault="00CB63CD">
      <w:pPr>
        <w:spacing w:before="100" w:beforeAutospacing="1" w:after="100" w:afterAutospacing="1" w:line="360" w:lineRule="auto"/>
        <w:ind w:firstLine="364"/>
        <w:divId w:val="1133477480"/>
        <w:rPr>
          <w:rFonts w:asciiTheme="minorEastAsia" w:hAnsiTheme="minorEastAsia"/>
        </w:rPr>
      </w:pPr>
      <w:r w:rsidRPr="0021611F">
        <w:rPr>
          <w:rFonts w:asciiTheme="minorEastAsia" w:hAnsiTheme="minorEastAsia" w:hint="eastAsia"/>
          <w:sz w:val="18"/>
          <w:szCs w:val="18"/>
        </w:rPr>
        <w:t>公司在每个资产负债表日评估相关金融工具的信用风险自初始确认后是否已显著增加。在确定信用风险自初始确认后是否显著增加时，公司考虑在无须付出不必要的额外成本或努力即可获得合理且有依据的信息，包括基于历史数据的</w:t>
      </w:r>
      <w:r w:rsidRPr="0021611F">
        <w:rPr>
          <w:rFonts w:asciiTheme="minorEastAsia" w:hAnsiTheme="minorEastAsia" w:hint="eastAsia"/>
          <w:sz w:val="18"/>
          <w:szCs w:val="18"/>
        </w:rPr>
        <w:lastRenderedPageBreak/>
        <w:t xml:space="preserve">定性和定量分析、外部信用风险评级以及前瞻性信息。公司以单项金融工具或者具有相似信用风险特征的金融工具组合为基础，通过比较金融工具在资产负债表日发生违约的风险与在初始确认日发生违约的风险，以确定金融工具预计存续期内发生违约风险的变化情况。 </w:t>
      </w:r>
    </w:p>
    <w:p w:rsidR="00CB63CD" w:rsidRPr="0021611F" w:rsidRDefault="00CB63CD">
      <w:pPr>
        <w:spacing w:before="100" w:beforeAutospacing="1" w:after="100" w:afterAutospacing="1" w:line="360" w:lineRule="auto"/>
        <w:ind w:firstLine="364"/>
        <w:divId w:val="1133477480"/>
        <w:rPr>
          <w:rFonts w:asciiTheme="minorEastAsia" w:hAnsiTheme="minorEastAsia"/>
        </w:rPr>
      </w:pPr>
      <w:r w:rsidRPr="0021611F">
        <w:rPr>
          <w:rFonts w:asciiTheme="minorEastAsia" w:hAnsiTheme="minorEastAsia" w:hint="eastAsia"/>
          <w:sz w:val="18"/>
          <w:szCs w:val="18"/>
        </w:rPr>
        <w:t>当触发以下一个或多个定量、定性标准时，公司认为金融工具的信用风险已发生显著增加：</w:t>
      </w:r>
    </w:p>
    <w:p w:rsidR="00CB63CD" w:rsidRPr="0021611F" w:rsidRDefault="00CB63CD">
      <w:pPr>
        <w:spacing w:before="100" w:beforeAutospacing="1" w:after="100" w:afterAutospacing="1" w:line="360" w:lineRule="auto"/>
        <w:ind w:left="420" w:firstLine="4"/>
        <w:divId w:val="1133477480"/>
        <w:rPr>
          <w:rFonts w:asciiTheme="minorEastAsia" w:hAnsiTheme="minorEastAsia"/>
        </w:rPr>
      </w:pPr>
      <w:r w:rsidRPr="0021611F">
        <w:rPr>
          <w:rFonts w:asciiTheme="minorEastAsia" w:hAnsiTheme="minorEastAsia" w:hint="eastAsia"/>
          <w:sz w:val="18"/>
          <w:szCs w:val="18"/>
        </w:rPr>
        <w:t>①定量标准主要为资产负债表日剩余存续期违约概率较初始确认时上升超过一定比例；</w:t>
      </w:r>
    </w:p>
    <w:p w:rsidR="00CB63CD" w:rsidRPr="0021611F" w:rsidRDefault="00CB63CD">
      <w:pPr>
        <w:spacing w:before="100" w:beforeAutospacing="1" w:after="100" w:afterAutospacing="1" w:line="360" w:lineRule="auto"/>
        <w:ind w:firstLine="360"/>
        <w:divId w:val="1133477480"/>
        <w:rPr>
          <w:rFonts w:asciiTheme="minorEastAsia" w:hAnsiTheme="minorEastAsia"/>
        </w:rPr>
      </w:pPr>
      <w:r w:rsidRPr="0021611F">
        <w:rPr>
          <w:rFonts w:asciiTheme="minorEastAsia" w:hAnsiTheme="minorEastAsia" w:hint="eastAsia"/>
          <w:sz w:val="18"/>
          <w:szCs w:val="18"/>
        </w:rPr>
        <w:t xml:space="preserve">② 定性标准主要为债务人经营或财务情况出现重大不利变化、现存的或预期的技术、市场、经济或法律环境变化并将对债务人对公司的还款能力产生重大不利影响等。 </w:t>
      </w:r>
    </w:p>
    <w:p w:rsidR="00CB63CD" w:rsidRPr="0021611F" w:rsidRDefault="00CB63CD">
      <w:pPr>
        <w:spacing w:before="100" w:beforeAutospacing="1" w:after="100" w:afterAutospacing="1" w:line="360" w:lineRule="auto"/>
        <w:ind w:firstLine="364"/>
        <w:divId w:val="1133477480"/>
        <w:rPr>
          <w:rFonts w:asciiTheme="minorEastAsia" w:hAnsiTheme="minorEastAsia"/>
        </w:rPr>
      </w:pPr>
      <w:r w:rsidRPr="0021611F">
        <w:rPr>
          <w:rFonts w:asciiTheme="minorEastAsia" w:hAnsiTheme="minorEastAsia" w:hint="eastAsia"/>
          <w:sz w:val="18"/>
          <w:szCs w:val="18"/>
        </w:rPr>
        <w:t xml:space="preserve">（2）违约和已发生信用减值资产的定义 </w:t>
      </w:r>
    </w:p>
    <w:p w:rsidR="00CB63CD" w:rsidRPr="0021611F" w:rsidRDefault="00CB63CD">
      <w:pPr>
        <w:spacing w:before="100" w:beforeAutospacing="1" w:after="100" w:afterAutospacing="1" w:line="360" w:lineRule="auto"/>
        <w:ind w:firstLine="364"/>
        <w:divId w:val="1133477480"/>
        <w:rPr>
          <w:rFonts w:asciiTheme="minorEastAsia" w:hAnsiTheme="minorEastAsia"/>
        </w:rPr>
      </w:pPr>
      <w:r w:rsidRPr="0021611F">
        <w:rPr>
          <w:rFonts w:asciiTheme="minorEastAsia" w:hAnsiTheme="minorEastAsia" w:hint="eastAsia"/>
          <w:sz w:val="18"/>
          <w:szCs w:val="18"/>
        </w:rPr>
        <w:t xml:space="preserve">当金融工具符合以下一项或多项条件时，公司将该金融资产界定为已发生违约，其标准与已发生信用减值的定义一致： </w:t>
      </w:r>
    </w:p>
    <w:p w:rsidR="00CB63CD" w:rsidRPr="0021611F" w:rsidRDefault="00CB63CD">
      <w:pPr>
        <w:spacing w:before="100" w:beforeAutospacing="1" w:after="100" w:afterAutospacing="1" w:line="360" w:lineRule="auto"/>
        <w:ind w:firstLine="364"/>
        <w:divId w:val="1133477480"/>
        <w:rPr>
          <w:rFonts w:asciiTheme="minorEastAsia" w:hAnsiTheme="minorEastAsia"/>
        </w:rPr>
      </w:pPr>
      <w:r w:rsidRPr="0021611F">
        <w:rPr>
          <w:rFonts w:asciiTheme="minorEastAsia" w:hAnsiTheme="minorEastAsia" w:hint="eastAsia"/>
          <w:sz w:val="18"/>
          <w:szCs w:val="18"/>
        </w:rPr>
        <w:t xml:space="preserve">①债务人发生重大财务困难； </w:t>
      </w:r>
    </w:p>
    <w:p w:rsidR="00CB63CD" w:rsidRPr="0021611F" w:rsidRDefault="00CB63CD">
      <w:pPr>
        <w:spacing w:before="100" w:beforeAutospacing="1" w:after="100" w:afterAutospacing="1" w:line="360" w:lineRule="auto"/>
        <w:ind w:firstLine="364"/>
        <w:divId w:val="1133477480"/>
        <w:rPr>
          <w:rFonts w:asciiTheme="minorEastAsia" w:hAnsiTheme="minorEastAsia"/>
        </w:rPr>
      </w:pPr>
      <w:r w:rsidRPr="0021611F">
        <w:rPr>
          <w:rFonts w:asciiTheme="minorEastAsia" w:hAnsiTheme="minorEastAsia" w:hint="eastAsia"/>
          <w:sz w:val="18"/>
          <w:szCs w:val="18"/>
        </w:rPr>
        <w:t xml:space="preserve">②债务人违反合同中对债务人的约束条款； </w:t>
      </w:r>
    </w:p>
    <w:p w:rsidR="00CB63CD" w:rsidRPr="0021611F" w:rsidRDefault="00CB63CD">
      <w:pPr>
        <w:spacing w:before="100" w:beforeAutospacing="1" w:after="100" w:afterAutospacing="1" w:line="360" w:lineRule="auto"/>
        <w:ind w:firstLine="364"/>
        <w:divId w:val="1133477480"/>
        <w:rPr>
          <w:rFonts w:asciiTheme="minorEastAsia" w:hAnsiTheme="minorEastAsia"/>
        </w:rPr>
      </w:pPr>
      <w:r w:rsidRPr="0021611F">
        <w:rPr>
          <w:rFonts w:asciiTheme="minorEastAsia" w:hAnsiTheme="minorEastAsia" w:hint="eastAsia"/>
          <w:sz w:val="18"/>
          <w:szCs w:val="18"/>
        </w:rPr>
        <w:t xml:space="preserve">③债务人很可能破产或进行其他财务重组； </w:t>
      </w:r>
    </w:p>
    <w:p w:rsidR="00CB63CD" w:rsidRPr="0021611F" w:rsidRDefault="00CB63CD">
      <w:pPr>
        <w:spacing w:before="100" w:beforeAutospacing="1" w:after="100" w:afterAutospacing="1" w:line="360" w:lineRule="auto"/>
        <w:ind w:firstLine="364"/>
        <w:divId w:val="1133477480"/>
        <w:rPr>
          <w:rFonts w:asciiTheme="minorEastAsia" w:hAnsiTheme="minorEastAsia"/>
        </w:rPr>
      </w:pPr>
      <w:r w:rsidRPr="0021611F">
        <w:rPr>
          <w:rFonts w:asciiTheme="minorEastAsia" w:hAnsiTheme="minorEastAsia" w:hint="eastAsia"/>
          <w:sz w:val="18"/>
          <w:szCs w:val="18"/>
        </w:rPr>
        <w:t xml:space="preserve">④债权人出于与债务人财务困难有关的经济或合同考虑，给予债务人在任何其他情况下都不会做出的让步。 </w:t>
      </w:r>
    </w:p>
    <w:p w:rsidR="00CB63CD" w:rsidRPr="0021611F" w:rsidRDefault="00CB63CD">
      <w:pPr>
        <w:spacing w:before="100" w:beforeAutospacing="1" w:after="100" w:afterAutospacing="1" w:line="360" w:lineRule="auto"/>
        <w:ind w:firstLine="364"/>
        <w:divId w:val="1133477480"/>
        <w:rPr>
          <w:rFonts w:asciiTheme="minorEastAsia" w:hAnsiTheme="minorEastAsia"/>
        </w:rPr>
      </w:pPr>
      <w:r w:rsidRPr="0021611F">
        <w:rPr>
          <w:rFonts w:asciiTheme="minorEastAsia" w:hAnsiTheme="minorEastAsia" w:hint="eastAsia"/>
          <w:sz w:val="18"/>
          <w:szCs w:val="18"/>
        </w:rPr>
        <w:t xml:space="preserve">2、预期信用损失的计量 </w:t>
      </w:r>
    </w:p>
    <w:p w:rsidR="00CB63CD" w:rsidRPr="0021611F" w:rsidRDefault="00CB63CD">
      <w:pPr>
        <w:spacing w:before="100" w:beforeAutospacing="1" w:after="100" w:afterAutospacing="1" w:line="360" w:lineRule="auto"/>
        <w:ind w:firstLine="364"/>
        <w:divId w:val="1133477480"/>
        <w:rPr>
          <w:rFonts w:asciiTheme="minorEastAsia" w:hAnsiTheme="minorEastAsia"/>
        </w:rPr>
      </w:pPr>
      <w:r w:rsidRPr="0021611F">
        <w:rPr>
          <w:rFonts w:asciiTheme="minorEastAsia" w:hAnsiTheme="minorEastAsia" w:hint="eastAsia"/>
          <w:sz w:val="18"/>
          <w:szCs w:val="18"/>
        </w:rPr>
        <w:t xml:space="preserve">预期信用损失计量的关键参数包括违约概率、违约损失率和违约风险敞口。公司考虑历史统计数据(如交易对手评级、担保方式及抵押质押物类别、还款方式等)的定量分析及前瞻性信息，建立违约概率、违约损失率及违约风险敞口模型。 </w:t>
      </w:r>
    </w:p>
    <w:p w:rsidR="00CB63CD" w:rsidRPr="0021611F" w:rsidRDefault="00CB63CD">
      <w:pPr>
        <w:spacing w:before="100" w:beforeAutospacing="1" w:after="100" w:afterAutospacing="1" w:line="360" w:lineRule="auto"/>
        <w:ind w:firstLine="364"/>
        <w:divId w:val="1133477480"/>
        <w:rPr>
          <w:rFonts w:asciiTheme="minorEastAsia" w:hAnsiTheme="minorEastAsia"/>
        </w:rPr>
      </w:pPr>
      <w:r w:rsidRPr="0021611F">
        <w:rPr>
          <w:rFonts w:asciiTheme="minorEastAsia" w:hAnsiTheme="minorEastAsia" w:hint="eastAsia"/>
          <w:sz w:val="18"/>
          <w:szCs w:val="18"/>
        </w:rPr>
        <w:t xml:space="preserve">3、金融工具损失准备期初余额与期末余额调节表详见本财务报表附注七、3及附注七、 6之说明。 </w:t>
      </w:r>
    </w:p>
    <w:p w:rsidR="00CB63CD" w:rsidRPr="0021611F" w:rsidRDefault="00CB63CD">
      <w:pPr>
        <w:spacing w:before="100" w:beforeAutospacing="1" w:after="100" w:afterAutospacing="1" w:line="360" w:lineRule="auto"/>
        <w:ind w:firstLine="364"/>
        <w:divId w:val="1133477480"/>
        <w:rPr>
          <w:rFonts w:asciiTheme="minorEastAsia" w:hAnsiTheme="minorEastAsia"/>
        </w:rPr>
      </w:pPr>
      <w:r w:rsidRPr="0021611F">
        <w:rPr>
          <w:rFonts w:asciiTheme="minorEastAsia" w:hAnsiTheme="minorEastAsia" w:hint="eastAsia"/>
          <w:sz w:val="18"/>
          <w:szCs w:val="18"/>
        </w:rPr>
        <w:t>4、信用风险敞口及信用风险集中度</w:t>
      </w:r>
    </w:p>
    <w:p w:rsidR="00CB63CD" w:rsidRPr="0021611F" w:rsidRDefault="00CB63CD">
      <w:pPr>
        <w:spacing w:before="100" w:beforeAutospacing="1" w:after="100" w:afterAutospacing="1" w:line="360" w:lineRule="auto"/>
        <w:ind w:firstLine="364"/>
        <w:divId w:val="1133477480"/>
        <w:rPr>
          <w:rFonts w:asciiTheme="minorEastAsia" w:hAnsiTheme="minorEastAsia"/>
        </w:rPr>
      </w:pPr>
      <w:r w:rsidRPr="0021611F">
        <w:rPr>
          <w:rFonts w:asciiTheme="minorEastAsia" w:hAnsiTheme="minorEastAsia" w:hint="eastAsia"/>
          <w:sz w:val="18"/>
          <w:szCs w:val="18"/>
        </w:rPr>
        <w:t>本公司的信用风险主要来自货币资金和应收款项，本公司还因提供财务担保而面临信用风险，详见附注十二、5之</w:t>
      </w:r>
      <w:r w:rsidRPr="0021611F">
        <w:rPr>
          <w:rFonts w:asciiTheme="minorEastAsia" w:hAnsiTheme="minorEastAsia" w:hint="eastAsia"/>
          <w:sz w:val="18"/>
          <w:szCs w:val="18"/>
        </w:rPr>
        <w:lastRenderedPageBreak/>
        <w:t xml:space="preserve">（3）披露。为控制上述相关风险，本公司分别采取了以下措施。 </w:t>
      </w:r>
    </w:p>
    <w:p w:rsidR="00CB63CD" w:rsidRPr="0021611F" w:rsidRDefault="00CB63CD">
      <w:pPr>
        <w:spacing w:before="100" w:beforeAutospacing="1" w:after="100" w:afterAutospacing="1" w:line="360" w:lineRule="auto"/>
        <w:ind w:firstLine="364"/>
        <w:divId w:val="1133477480"/>
        <w:rPr>
          <w:rFonts w:asciiTheme="minorEastAsia" w:hAnsiTheme="minorEastAsia"/>
        </w:rPr>
      </w:pPr>
      <w:r w:rsidRPr="0021611F">
        <w:rPr>
          <w:rFonts w:asciiTheme="minorEastAsia" w:hAnsiTheme="minorEastAsia" w:hint="eastAsia"/>
          <w:sz w:val="18"/>
          <w:szCs w:val="18"/>
        </w:rPr>
        <w:t xml:space="preserve">（1）货币资金 </w:t>
      </w:r>
    </w:p>
    <w:p w:rsidR="00CB63CD" w:rsidRPr="0021611F" w:rsidRDefault="00CB63CD">
      <w:pPr>
        <w:spacing w:before="100" w:beforeAutospacing="1" w:after="100" w:afterAutospacing="1" w:line="360" w:lineRule="auto"/>
        <w:ind w:firstLine="364"/>
        <w:divId w:val="1133477480"/>
        <w:rPr>
          <w:rFonts w:asciiTheme="minorEastAsia" w:hAnsiTheme="minorEastAsia"/>
        </w:rPr>
      </w:pPr>
      <w:r w:rsidRPr="0021611F">
        <w:rPr>
          <w:rFonts w:asciiTheme="minorEastAsia" w:hAnsiTheme="minorEastAsia" w:hint="eastAsia"/>
          <w:sz w:val="18"/>
          <w:szCs w:val="18"/>
        </w:rPr>
        <w:t>本公司将银行存款和其他货币资金存放于信用评级较高的金融机构，故其信用风险较低。</w:t>
      </w:r>
    </w:p>
    <w:p w:rsidR="00CB63CD" w:rsidRPr="0021611F" w:rsidRDefault="00CB63CD">
      <w:pPr>
        <w:spacing w:before="100" w:beforeAutospacing="1" w:after="100" w:afterAutospacing="1" w:line="360" w:lineRule="auto"/>
        <w:ind w:firstLine="364"/>
        <w:divId w:val="1133477480"/>
        <w:rPr>
          <w:rFonts w:asciiTheme="minorEastAsia" w:hAnsiTheme="minorEastAsia"/>
        </w:rPr>
      </w:pPr>
      <w:r w:rsidRPr="0021611F">
        <w:rPr>
          <w:rFonts w:asciiTheme="minorEastAsia" w:hAnsiTheme="minorEastAsia" w:hint="eastAsia"/>
          <w:sz w:val="18"/>
          <w:szCs w:val="18"/>
        </w:rPr>
        <w:t xml:space="preserve">（2）应收款项 </w:t>
      </w:r>
    </w:p>
    <w:p w:rsidR="00CB63CD" w:rsidRPr="0021611F" w:rsidRDefault="00CB63CD">
      <w:pPr>
        <w:spacing w:before="100" w:beforeAutospacing="1" w:after="100" w:afterAutospacing="1" w:line="360" w:lineRule="auto"/>
        <w:ind w:firstLine="364"/>
        <w:divId w:val="1133477480"/>
        <w:rPr>
          <w:rFonts w:asciiTheme="minorEastAsia" w:hAnsiTheme="minorEastAsia"/>
        </w:rPr>
      </w:pPr>
      <w:r w:rsidRPr="0021611F">
        <w:rPr>
          <w:rFonts w:asciiTheme="minorEastAsia" w:hAnsiTheme="minorEastAsia" w:hint="eastAsia"/>
          <w:sz w:val="18"/>
          <w:szCs w:val="18"/>
        </w:rPr>
        <w:t>本公司持续对采用信用方式交易的客户进行信用评估。根据信用评估结果，本公司选择与经认可的且信用良好的客户进行交易，并对其应收款项余额进行监控，以确保本公司不会面临重大坏账风险。</w:t>
      </w:r>
    </w:p>
    <w:p w:rsidR="00CB63CD" w:rsidRPr="0021611F" w:rsidRDefault="00CB63CD">
      <w:pPr>
        <w:spacing w:before="100" w:beforeAutospacing="1" w:after="100" w:afterAutospacing="1" w:line="360" w:lineRule="auto"/>
        <w:ind w:firstLine="364"/>
        <w:divId w:val="1133477480"/>
        <w:rPr>
          <w:rFonts w:asciiTheme="minorEastAsia" w:hAnsiTheme="minorEastAsia"/>
        </w:rPr>
      </w:pPr>
      <w:r w:rsidRPr="0021611F">
        <w:rPr>
          <w:rFonts w:asciiTheme="minorEastAsia" w:hAnsiTheme="minorEastAsia" w:hint="eastAsia"/>
          <w:sz w:val="18"/>
          <w:szCs w:val="18"/>
        </w:rPr>
        <w:t>（3）对外担保</w:t>
      </w:r>
    </w:p>
    <w:p w:rsidR="00CB63CD" w:rsidRPr="0021611F" w:rsidRDefault="00CB63CD">
      <w:pPr>
        <w:spacing w:before="100" w:beforeAutospacing="1" w:after="100" w:afterAutospacing="1" w:line="360" w:lineRule="auto"/>
        <w:ind w:firstLine="364"/>
        <w:divId w:val="1133477480"/>
        <w:rPr>
          <w:rFonts w:asciiTheme="minorEastAsia" w:hAnsiTheme="minorEastAsia"/>
        </w:rPr>
      </w:pPr>
      <w:r w:rsidRPr="0021611F">
        <w:rPr>
          <w:rFonts w:asciiTheme="minorEastAsia" w:hAnsiTheme="minorEastAsia" w:hint="eastAsia"/>
          <w:sz w:val="18"/>
          <w:szCs w:val="18"/>
        </w:rPr>
        <w:t>本公司持续对被担保单位进行信用评估，及时获取被担保单位财务资料，对其财务状况及时、动态进行评估，建立预警标准，确保被担保单位财务状况符合公司对外担保条件。采取包括但不限于被担保单位提供反担保增信措施，降低公司对外担保风险。</w:t>
      </w:r>
    </w:p>
    <w:p w:rsidR="00CB63CD" w:rsidRPr="0021611F" w:rsidRDefault="00CB63CD">
      <w:pPr>
        <w:spacing w:before="100" w:beforeAutospacing="1" w:after="100" w:afterAutospacing="1" w:line="360" w:lineRule="auto"/>
        <w:ind w:firstLine="364"/>
        <w:divId w:val="1133477480"/>
        <w:rPr>
          <w:rFonts w:asciiTheme="minorEastAsia" w:hAnsiTheme="minorEastAsia"/>
        </w:rPr>
      </w:pPr>
      <w:r w:rsidRPr="0021611F">
        <w:rPr>
          <w:rFonts w:asciiTheme="minorEastAsia" w:hAnsiTheme="minorEastAsia" w:hint="eastAsia"/>
          <w:sz w:val="18"/>
          <w:szCs w:val="18"/>
        </w:rPr>
        <w:t>本公司所承受的最大信用风险敞口为资产负债表中每项金融资产的账面价值及对外担保金额。</w:t>
      </w:r>
    </w:p>
    <w:p w:rsidR="00CB63CD" w:rsidRPr="0021611F" w:rsidRDefault="00CB63CD">
      <w:pPr>
        <w:spacing w:before="100" w:beforeAutospacing="1" w:after="100" w:afterAutospacing="1" w:line="360" w:lineRule="auto"/>
        <w:ind w:firstLine="365"/>
        <w:divId w:val="1133477480"/>
        <w:rPr>
          <w:rFonts w:asciiTheme="minorEastAsia" w:hAnsiTheme="minorEastAsia"/>
        </w:rPr>
      </w:pPr>
      <w:r w:rsidRPr="0021611F">
        <w:rPr>
          <w:rStyle w:val="a4"/>
          <w:rFonts w:asciiTheme="minorEastAsia" w:hAnsiTheme="minorEastAsia" w:hint="eastAsia"/>
          <w:sz w:val="18"/>
          <w:szCs w:val="18"/>
        </w:rPr>
        <w:t>3、流动风险</w:t>
      </w:r>
    </w:p>
    <w:p w:rsidR="00CB63CD" w:rsidRDefault="00CB63CD">
      <w:pPr>
        <w:spacing w:before="100" w:beforeAutospacing="1" w:after="100" w:afterAutospacing="1" w:line="360" w:lineRule="auto"/>
        <w:ind w:firstLine="364"/>
        <w:divId w:val="1133477480"/>
      </w:pPr>
      <w:r>
        <w:rPr>
          <w:rFonts w:hint="eastAsia"/>
          <w:sz w:val="18"/>
          <w:szCs w:val="18"/>
        </w:rPr>
        <w:t>管理流动风险时，公司保持管理层认为充分的现金及现金等价物并对其进行监控，以满足公司经营需要、并降低现金流量波动的影响。</w:t>
      </w:r>
    </w:p>
    <w:p w:rsidR="00CB63CD" w:rsidRDefault="00CB63CD">
      <w:pPr>
        <w:spacing w:before="100" w:beforeAutospacing="1" w:after="100" w:afterAutospacing="1" w:line="360" w:lineRule="auto"/>
        <w:ind w:firstLine="364"/>
        <w:divId w:val="1133477480"/>
      </w:pPr>
      <w:r>
        <w:rPr>
          <w:rFonts w:hint="eastAsia"/>
          <w:sz w:val="18"/>
          <w:szCs w:val="18"/>
        </w:rPr>
        <w:t>公司管理层认为，公司所承担的流动风险对公司的经营和财务报表不构成重大影响，本财务报表系在持续经营假设的基础上编制。</w:t>
      </w:r>
    </w:p>
    <w:p w:rsidR="00CB63CD" w:rsidRPr="0021611F" w:rsidRDefault="00CB63CD">
      <w:pPr>
        <w:spacing w:before="100" w:beforeAutospacing="1" w:after="100" w:afterAutospacing="1" w:line="360" w:lineRule="auto"/>
        <w:ind w:firstLine="364"/>
        <w:divId w:val="1133477480"/>
        <w:rPr>
          <w:rFonts w:asciiTheme="minorEastAsia" w:hAnsiTheme="minorEastAsia"/>
        </w:rPr>
      </w:pPr>
      <w:r w:rsidRPr="0021611F">
        <w:rPr>
          <w:rFonts w:asciiTheme="minorEastAsia" w:hAnsiTheme="minorEastAsia" w:hint="eastAsia"/>
          <w:sz w:val="18"/>
          <w:szCs w:val="18"/>
        </w:rPr>
        <w:t>于2022年6月30日，本公司持有的金融负债按未折现剩余合同义务的到期期限及对外担保分析如下：  </w:t>
      </w:r>
    </w:p>
    <w:tbl>
      <w:tblPr>
        <w:tblW w:w="4850" w:type="pct"/>
        <w:tblCellMar>
          <w:left w:w="0" w:type="dxa"/>
          <w:right w:w="0" w:type="dxa"/>
        </w:tblCellMar>
        <w:tblLook w:val="04A0" w:firstRow="1" w:lastRow="0" w:firstColumn="1" w:lastColumn="0" w:noHBand="0" w:noVBand="1"/>
      </w:tblPr>
      <w:tblGrid>
        <w:gridCol w:w="2548"/>
        <w:gridCol w:w="1992"/>
        <w:gridCol w:w="1837"/>
        <w:gridCol w:w="1590"/>
        <w:gridCol w:w="1590"/>
      </w:tblGrid>
      <w:tr w:rsidR="00CB63CD">
        <w:trPr>
          <w:divId w:val="1133477480"/>
          <w:trHeight w:val="477"/>
        </w:trPr>
        <w:tc>
          <w:tcPr>
            <w:tcW w:w="1333"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项目</w:t>
            </w:r>
          </w:p>
        </w:tc>
        <w:tc>
          <w:tcPr>
            <w:tcW w:w="1042"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1年以内</w:t>
            </w:r>
          </w:p>
        </w:tc>
        <w:tc>
          <w:tcPr>
            <w:tcW w:w="961"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1-2年</w:t>
            </w:r>
          </w:p>
        </w:tc>
        <w:tc>
          <w:tcPr>
            <w:tcW w:w="832"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2-3年</w:t>
            </w:r>
          </w:p>
        </w:tc>
        <w:tc>
          <w:tcPr>
            <w:tcW w:w="832"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3年以上</w:t>
            </w:r>
          </w:p>
        </w:tc>
      </w:tr>
      <w:tr w:rsidR="00CB63CD">
        <w:trPr>
          <w:divId w:val="1133477480"/>
          <w:trHeight w:val="270"/>
        </w:trPr>
        <w:tc>
          <w:tcPr>
            <w:tcW w:w="133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短期借款</w:t>
            </w:r>
          </w:p>
        </w:tc>
        <w:tc>
          <w:tcPr>
            <w:tcW w:w="104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1,029,859,513.89</w:t>
            </w:r>
          </w:p>
        </w:tc>
        <w:tc>
          <w:tcPr>
            <w:tcW w:w="96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 </w:t>
            </w:r>
          </w:p>
        </w:tc>
        <w:tc>
          <w:tcPr>
            <w:tcW w:w="83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 </w:t>
            </w:r>
          </w:p>
        </w:tc>
        <w:tc>
          <w:tcPr>
            <w:tcW w:w="83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 </w:t>
            </w:r>
          </w:p>
        </w:tc>
      </w:tr>
      <w:tr w:rsidR="00CB63CD">
        <w:trPr>
          <w:divId w:val="1133477480"/>
          <w:trHeight w:val="270"/>
        </w:trPr>
        <w:tc>
          <w:tcPr>
            <w:tcW w:w="133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应付票据</w:t>
            </w:r>
          </w:p>
        </w:tc>
        <w:tc>
          <w:tcPr>
            <w:tcW w:w="104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50,000,000.00</w:t>
            </w:r>
          </w:p>
        </w:tc>
        <w:tc>
          <w:tcPr>
            <w:tcW w:w="96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 </w:t>
            </w:r>
          </w:p>
        </w:tc>
        <w:tc>
          <w:tcPr>
            <w:tcW w:w="83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 </w:t>
            </w:r>
          </w:p>
        </w:tc>
        <w:tc>
          <w:tcPr>
            <w:tcW w:w="83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 </w:t>
            </w:r>
          </w:p>
        </w:tc>
      </w:tr>
      <w:tr w:rsidR="00CB63CD">
        <w:trPr>
          <w:divId w:val="1133477480"/>
          <w:trHeight w:val="270"/>
        </w:trPr>
        <w:tc>
          <w:tcPr>
            <w:tcW w:w="133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应付账款</w:t>
            </w:r>
          </w:p>
        </w:tc>
        <w:tc>
          <w:tcPr>
            <w:tcW w:w="104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68,294,292.84</w:t>
            </w:r>
          </w:p>
        </w:tc>
        <w:tc>
          <w:tcPr>
            <w:tcW w:w="96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 </w:t>
            </w:r>
          </w:p>
        </w:tc>
        <w:tc>
          <w:tcPr>
            <w:tcW w:w="83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 </w:t>
            </w:r>
          </w:p>
        </w:tc>
        <w:tc>
          <w:tcPr>
            <w:tcW w:w="83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 </w:t>
            </w:r>
          </w:p>
        </w:tc>
      </w:tr>
      <w:tr w:rsidR="00CB63CD">
        <w:trPr>
          <w:divId w:val="1133477480"/>
          <w:trHeight w:val="270"/>
        </w:trPr>
        <w:tc>
          <w:tcPr>
            <w:tcW w:w="133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其他应付款</w:t>
            </w:r>
          </w:p>
        </w:tc>
        <w:tc>
          <w:tcPr>
            <w:tcW w:w="104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698,791.58</w:t>
            </w:r>
          </w:p>
        </w:tc>
        <w:tc>
          <w:tcPr>
            <w:tcW w:w="96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 </w:t>
            </w:r>
          </w:p>
        </w:tc>
        <w:tc>
          <w:tcPr>
            <w:tcW w:w="83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 </w:t>
            </w:r>
          </w:p>
        </w:tc>
        <w:tc>
          <w:tcPr>
            <w:tcW w:w="83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 </w:t>
            </w:r>
          </w:p>
        </w:tc>
      </w:tr>
      <w:tr w:rsidR="00CB63CD">
        <w:trPr>
          <w:divId w:val="1133477480"/>
          <w:trHeight w:val="270"/>
        </w:trPr>
        <w:tc>
          <w:tcPr>
            <w:tcW w:w="133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其他流动负债</w:t>
            </w:r>
          </w:p>
        </w:tc>
        <w:tc>
          <w:tcPr>
            <w:tcW w:w="104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1,000,000.00</w:t>
            </w:r>
          </w:p>
        </w:tc>
        <w:tc>
          <w:tcPr>
            <w:tcW w:w="96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 </w:t>
            </w:r>
          </w:p>
        </w:tc>
        <w:tc>
          <w:tcPr>
            <w:tcW w:w="83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 </w:t>
            </w:r>
          </w:p>
        </w:tc>
        <w:tc>
          <w:tcPr>
            <w:tcW w:w="83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 </w:t>
            </w:r>
          </w:p>
        </w:tc>
      </w:tr>
      <w:tr w:rsidR="00CB63CD">
        <w:trPr>
          <w:divId w:val="1133477480"/>
          <w:trHeight w:val="270"/>
        </w:trPr>
        <w:tc>
          <w:tcPr>
            <w:tcW w:w="133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B63CD" w:rsidRDefault="00CB63CD">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公司为关联方提供担保</w:t>
            </w:r>
          </w:p>
        </w:tc>
        <w:tc>
          <w:tcPr>
            <w:tcW w:w="104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866,100,000.00</w:t>
            </w:r>
          </w:p>
        </w:tc>
        <w:tc>
          <w:tcPr>
            <w:tcW w:w="96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 </w:t>
            </w:r>
          </w:p>
        </w:tc>
        <w:tc>
          <w:tcPr>
            <w:tcW w:w="83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 </w:t>
            </w:r>
          </w:p>
        </w:tc>
        <w:tc>
          <w:tcPr>
            <w:tcW w:w="83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 </w:t>
            </w:r>
          </w:p>
        </w:tc>
      </w:tr>
    </w:tbl>
    <w:p w:rsidR="00CB63CD" w:rsidRDefault="00CB63CD">
      <w:pPr>
        <w:spacing w:before="100" w:beforeAutospacing="1" w:after="100" w:afterAutospacing="1" w:line="360" w:lineRule="auto"/>
        <w:ind w:firstLine="364"/>
        <w:divId w:val="1133477480"/>
        <w:rPr>
          <w:sz w:val="24"/>
          <w:szCs w:val="24"/>
        </w:rPr>
      </w:pPr>
      <w:r>
        <w:rPr>
          <w:rFonts w:hint="eastAsia"/>
          <w:sz w:val="18"/>
          <w:szCs w:val="18"/>
        </w:rPr>
        <w:lastRenderedPageBreak/>
        <w:t> </w:t>
      </w:r>
    </w:p>
    <w:p w:rsidR="00F068AD" w:rsidRDefault="00CB63CD">
      <w:pPr>
        <w:pStyle w:val="2"/>
        <w:spacing w:before="300" w:after="300" w:line="320" w:lineRule="exact"/>
        <w:rPr>
          <w:rFonts w:ascii="宋体" w:eastAsia="宋体" w:hAnsi="宋体" w:cs="宋体"/>
          <w:b/>
          <w:bCs/>
          <w:sz w:val="24"/>
          <w:szCs w:val="24"/>
        </w:rPr>
      </w:pPr>
      <w:bookmarkStart w:id="269" w:name="_Toc989160"/>
      <w:r>
        <w:rPr>
          <w:rFonts w:ascii="宋体" w:eastAsia="宋体" w:hAnsi="宋体" w:cs="宋体"/>
          <w:b/>
          <w:bCs/>
          <w:sz w:val="24"/>
          <w:szCs w:val="24"/>
        </w:rPr>
        <w:t>十一、公允价值的披露</w:t>
      </w:r>
      <w:bookmarkEnd w:id="269"/>
    </w:p>
    <w:p w:rsidR="00F068AD" w:rsidRDefault="00CB63CD">
      <w:pPr>
        <w:pStyle w:val="3"/>
        <w:spacing w:line="280" w:lineRule="exact"/>
        <w:jc w:val="left"/>
        <w:rPr>
          <w:rFonts w:ascii="宋体" w:hAnsi="宋体" w:cs="宋体"/>
          <w:b/>
          <w:bCs/>
        </w:rPr>
      </w:pPr>
      <w:bookmarkStart w:id="270" w:name="_Toc989161"/>
      <w:r>
        <w:rPr>
          <w:rFonts w:ascii="宋体" w:hAnsi="宋体" w:cs="宋体"/>
          <w:b/>
          <w:bCs/>
        </w:rPr>
        <w:t>1、以公允价值计量的资产和负债的期末公允价值</w:t>
      </w:r>
      <w:bookmarkEnd w:id="270"/>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F068AD">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7711"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期末公允价值</w:t>
            </w:r>
          </w:p>
        </w:tc>
      </w:tr>
      <w:tr w:rsidR="00F068AD">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第一层次公允价值计量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第二层次公允价值计量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第三层次公允价值计量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一、持续的公允价值计量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380F15">
            <w:pPr>
              <w:spacing w:before="40" w:after="40" w:line="240" w:lineRule="exact"/>
              <w:rPr>
                <w:rFonts w:ascii="宋体" w:eastAsia="宋体" w:hAnsi="宋体" w:cs="宋体"/>
                <w:sz w:val="18"/>
                <w:szCs w:val="18"/>
              </w:rPr>
            </w:pPr>
            <w:r>
              <w:rPr>
                <w:rFonts w:ascii="宋体" w:eastAsia="宋体" w:hAnsi="宋体" w:cs="宋体"/>
                <w:sz w:val="18"/>
                <w:szCs w:val="18"/>
              </w:rPr>
              <w:t>（一）</w:t>
            </w:r>
            <w:r w:rsidR="00CB63CD">
              <w:rPr>
                <w:rFonts w:ascii="宋体" w:eastAsia="宋体" w:hAnsi="宋体" w:cs="宋体"/>
                <w:sz w:val="18"/>
                <w:szCs w:val="18"/>
              </w:rPr>
              <w:t>以公允价值计量且其变动计入当期损益的金融资产</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405,689,589.56</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5,097,236.99</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410,786,826.55</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1、交易性金融资产</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405,689,589.56</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5,097,236.99</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410,786,826.55</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（1）理财投资</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（2）基金</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913,287.94</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913,287.94</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（3）权益工具投资</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404,776,301.62</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404,776,301.62</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（4）债务工具投资</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5,097,236.99</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5,097,236.99</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2、指定以公允价值计量且变动计入当期损益的金融资产</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（二）应收款项融资</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201,486,827.19</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201,486,827.19</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（三）债权投资</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（四）其他权益工具投资</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（五）其他非流动金融资产</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708,302,746.75</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708,302,746.75</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持续以公允价值计量的资产总额</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405,689,589.56</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201,486,827.19</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713,399,983.74</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1,320,576,400.49</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（六）交易性金融负债</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（七）指定为以公允价值计量且变动计入当期损益的金融负债</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持续以公允价值计量的负债总额</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二、非持续的公允价值计量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（一）持有待售资产</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非持续以公允价值计量的资产总额</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非持续以公允价值计量的负债总额</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bl>
    <w:p w:rsidR="00F068AD" w:rsidRDefault="00CB63CD">
      <w:pPr>
        <w:pStyle w:val="3"/>
        <w:spacing w:line="280" w:lineRule="exact"/>
        <w:jc w:val="left"/>
        <w:rPr>
          <w:rFonts w:ascii="宋体" w:hAnsi="宋体" w:cs="宋体"/>
          <w:b/>
          <w:bCs/>
        </w:rPr>
      </w:pPr>
      <w:bookmarkStart w:id="271" w:name="_Toc989162"/>
      <w:r>
        <w:rPr>
          <w:rFonts w:ascii="宋体" w:hAnsi="宋体" w:cs="宋体"/>
          <w:b/>
          <w:bCs/>
        </w:rPr>
        <w:t>2、持续和非持续第一层次公允价值计量项目市价的确定依据</w:t>
      </w:r>
      <w:bookmarkEnd w:id="271"/>
    </w:p>
    <w:p w:rsidR="00CB63CD" w:rsidRDefault="00CB63CD">
      <w:pPr>
        <w:spacing w:before="100" w:beforeAutospacing="1" w:after="100" w:afterAutospacing="1" w:line="360" w:lineRule="auto"/>
        <w:ind w:left="420"/>
        <w:divId w:val="368456673"/>
      </w:pPr>
      <w:r>
        <w:rPr>
          <w:rFonts w:hint="eastAsia"/>
          <w:sz w:val="18"/>
          <w:szCs w:val="18"/>
        </w:rPr>
        <w:t>第一层次输入值是在计量日能够取得的相同资产或负债在活跃市场上未经调整的报价。</w:t>
      </w:r>
    </w:p>
    <w:p w:rsidR="00F068AD" w:rsidRDefault="00CB63CD">
      <w:pPr>
        <w:pStyle w:val="3"/>
        <w:spacing w:line="280" w:lineRule="exact"/>
        <w:jc w:val="left"/>
        <w:rPr>
          <w:rFonts w:ascii="宋体" w:hAnsi="宋体" w:cs="宋体"/>
          <w:b/>
          <w:bCs/>
        </w:rPr>
      </w:pPr>
      <w:bookmarkStart w:id="272" w:name="_Toc989163"/>
      <w:r>
        <w:rPr>
          <w:rFonts w:ascii="宋体" w:hAnsi="宋体" w:cs="宋体"/>
          <w:b/>
          <w:bCs/>
        </w:rPr>
        <w:lastRenderedPageBreak/>
        <w:t>3、持续和非持续第二层次公允价值计量项目，采用的估值技术和重要参数的定性及定量信息</w:t>
      </w:r>
      <w:bookmarkEnd w:id="272"/>
    </w:p>
    <w:p w:rsidR="00CB63CD" w:rsidRDefault="00CB63CD">
      <w:pPr>
        <w:spacing w:before="100" w:beforeAutospacing="1" w:after="100" w:afterAutospacing="1" w:line="360" w:lineRule="auto"/>
        <w:ind w:left="420"/>
        <w:divId w:val="1711149164"/>
      </w:pPr>
      <w:r>
        <w:rPr>
          <w:rFonts w:hint="eastAsia"/>
          <w:sz w:val="18"/>
          <w:szCs w:val="18"/>
        </w:rPr>
        <w:t>第二层次输入值：除第一层次输入值外相关资产或负债直接或间接可观察的输入值，期末公司持续和非持续第二层次公允价值计量项目主要为应收款项融资。</w:t>
      </w:r>
    </w:p>
    <w:tbl>
      <w:tblPr>
        <w:tblW w:w="5000" w:type="pct"/>
        <w:jc w:val="center"/>
        <w:tblCellMar>
          <w:left w:w="0" w:type="dxa"/>
          <w:right w:w="0" w:type="dxa"/>
        </w:tblCellMar>
        <w:tblLook w:val="04A0" w:firstRow="1" w:lastRow="0" w:firstColumn="1" w:lastColumn="0" w:noHBand="0" w:noVBand="1"/>
      </w:tblPr>
      <w:tblGrid>
        <w:gridCol w:w="2092"/>
        <w:gridCol w:w="2423"/>
        <w:gridCol w:w="2423"/>
        <w:gridCol w:w="2755"/>
      </w:tblGrid>
      <w:tr w:rsidR="00CB63CD">
        <w:trPr>
          <w:divId w:val="1711149164"/>
          <w:trHeight w:val="340"/>
          <w:tblHeader/>
          <w:jc w:val="center"/>
        </w:trPr>
        <w:tc>
          <w:tcPr>
            <w:tcW w:w="1079"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项    目</w:t>
            </w:r>
          </w:p>
        </w:tc>
        <w:tc>
          <w:tcPr>
            <w:tcW w:w="1250"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期末公允价值</w:t>
            </w:r>
          </w:p>
        </w:tc>
        <w:tc>
          <w:tcPr>
            <w:tcW w:w="1250"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估值技术</w:t>
            </w:r>
          </w:p>
        </w:tc>
        <w:tc>
          <w:tcPr>
            <w:tcW w:w="1421"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可间接观察输入值</w:t>
            </w:r>
          </w:p>
        </w:tc>
      </w:tr>
      <w:tr w:rsidR="00CB63CD">
        <w:trPr>
          <w:divId w:val="1711149164"/>
          <w:trHeight w:val="340"/>
          <w:jc w:val="center"/>
        </w:trPr>
        <w:tc>
          <w:tcPr>
            <w:tcW w:w="1079"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应收款项融资</w:t>
            </w:r>
          </w:p>
        </w:tc>
        <w:tc>
          <w:tcPr>
            <w:tcW w:w="125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201,486,827.19</w:t>
            </w:r>
          </w:p>
        </w:tc>
        <w:tc>
          <w:tcPr>
            <w:tcW w:w="125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现金流量折现法</w:t>
            </w:r>
          </w:p>
        </w:tc>
        <w:tc>
          <w:tcPr>
            <w:tcW w:w="1421"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CB63CD" w:rsidRDefault="00CB63CD">
            <w:pPr>
              <w:pStyle w:val="a3"/>
              <w:spacing w:before="0" w:beforeAutospacing="0" w:after="0" w:afterAutospacing="0"/>
              <w:ind w:right="180"/>
              <w:jc w:val="center"/>
              <w:rPr>
                <w:rFonts w:ascii="Times New Roman" w:hAnsi="Times New Roman" w:cs="Times New Roman"/>
                <w:sz w:val="21"/>
                <w:szCs w:val="21"/>
              </w:rPr>
            </w:pPr>
            <w:r>
              <w:rPr>
                <w:rFonts w:cs="Times New Roman" w:hint="eastAsia"/>
                <w:color w:val="000000"/>
                <w:sz w:val="18"/>
                <w:szCs w:val="18"/>
              </w:rPr>
              <w:t>折现率（注）</w:t>
            </w:r>
          </w:p>
        </w:tc>
      </w:tr>
    </w:tbl>
    <w:p w:rsidR="00CB63CD" w:rsidRDefault="00CB63CD">
      <w:pPr>
        <w:pStyle w:val="a3"/>
        <w:spacing w:before="0" w:beforeAutospacing="0" w:after="0" w:afterAutospacing="0" w:line="360" w:lineRule="auto"/>
        <w:ind w:firstLine="270"/>
        <w:jc w:val="both"/>
        <w:divId w:val="1711149164"/>
        <w:rPr>
          <w:rFonts w:ascii="Times New Roman" w:hAnsi="Times New Roman" w:cs="Times New Roman"/>
          <w:sz w:val="21"/>
          <w:szCs w:val="21"/>
        </w:rPr>
      </w:pPr>
      <w:r>
        <w:rPr>
          <w:rFonts w:cs="Times New Roman" w:hint="eastAsia"/>
          <w:sz w:val="18"/>
          <w:szCs w:val="18"/>
        </w:rPr>
        <w:t>注：应收款项融资为银行承兑汇票，期限较短且风险较低，票面金额与公允价值接近，采用票面金额作为公允价值。</w:t>
      </w:r>
    </w:p>
    <w:p w:rsidR="00F068AD" w:rsidRDefault="00CB63CD">
      <w:pPr>
        <w:pStyle w:val="3"/>
        <w:spacing w:line="280" w:lineRule="exact"/>
        <w:jc w:val="left"/>
        <w:rPr>
          <w:rFonts w:ascii="宋体" w:hAnsi="宋体" w:cs="宋体"/>
          <w:b/>
          <w:bCs/>
        </w:rPr>
      </w:pPr>
      <w:bookmarkStart w:id="273" w:name="_Toc989164"/>
      <w:r>
        <w:rPr>
          <w:rFonts w:ascii="宋体" w:hAnsi="宋体" w:cs="宋体"/>
          <w:b/>
          <w:bCs/>
        </w:rPr>
        <w:t>4、持续和非持续第三层次公允价值计量项目，采用的估值技术和重要参数的定性及定量信息</w:t>
      </w:r>
      <w:bookmarkEnd w:id="273"/>
    </w:p>
    <w:p w:rsidR="00CB63CD" w:rsidRDefault="00CB63CD">
      <w:pPr>
        <w:pStyle w:val="a3"/>
        <w:spacing w:before="0" w:beforeAutospacing="0" w:after="0" w:afterAutospacing="0" w:line="360" w:lineRule="auto"/>
        <w:ind w:firstLine="360"/>
        <w:jc w:val="both"/>
        <w:divId w:val="501239570"/>
        <w:rPr>
          <w:rFonts w:ascii="Times New Roman" w:hAnsi="Times New Roman" w:cs="Times New Roman"/>
          <w:sz w:val="21"/>
          <w:szCs w:val="21"/>
        </w:rPr>
      </w:pPr>
      <w:r>
        <w:rPr>
          <w:rFonts w:cs="Times New Roman" w:hint="eastAsia"/>
          <w:sz w:val="18"/>
          <w:szCs w:val="18"/>
        </w:rPr>
        <w:t>本公司分类为第三层次公允价值计量项目主要为非上市公司权益工具投资，估值技术包括市场比较法、现金流量折现法。</w:t>
      </w:r>
    </w:p>
    <w:p w:rsidR="00CB63CD" w:rsidRDefault="00CB63CD">
      <w:pPr>
        <w:pStyle w:val="a3"/>
        <w:spacing w:before="0" w:beforeAutospacing="0" w:after="0" w:afterAutospacing="0" w:line="360" w:lineRule="auto"/>
        <w:ind w:firstLine="360"/>
        <w:jc w:val="both"/>
        <w:divId w:val="501239570"/>
        <w:rPr>
          <w:rFonts w:ascii="Times New Roman" w:hAnsi="Times New Roman" w:cs="Times New Roman"/>
          <w:sz w:val="21"/>
          <w:szCs w:val="21"/>
        </w:rPr>
      </w:pPr>
      <w:r>
        <w:rPr>
          <w:rFonts w:cs="Times New Roman" w:hint="eastAsia"/>
          <w:sz w:val="18"/>
          <w:szCs w:val="18"/>
        </w:rPr>
        <w:t>以下为第三层次公允价值计量项目的重要不可观察输入值概述：</w:t>
      </w:r>
    </w:p>
    <w:tbl>
      <w:tblPr>
        <w:tblW w:w="5000" w:type="pct"/>
        <w:jc w:val="center"/>
        <w:tblCellMar>
          <w:left w:w="0" w:type="dxa"/>
          <w:right w:w="0" w:type="dxa"/>
        </w:tblCellMar>
        <w:tblLook w:val="04A0" w:firstRow="1" w:lastRow="0" w:firstColumn="1" w:lastColumn="0" w:noHBand="0" w:noVBand="1"/>
      </w:tblPr>
      <w:tblGrid>
        <w:gridCol w:w="2600"/>
        <w:gridCol w:w="1927"/>
        <w:gridCol w:w="3373"/>
        <w:gridCol w:w="1793"/>
      </w:tblGrid>
      <w:tr w:rsidR="00CB63CD">
        <w:trPr>
          <w:divId w:val="501239570"/>
          <w:trHeight w:val="340"/>
          <w:tblHeader/>
          <w:jc w:val="center"/>
        </w:trPr>
        <w:tc>
          <w:tcPr>
            <w:tcW w:w="1341"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项    目</w:t>
            </w:r>
          </w:p>
        </w:tc>
        <w:tc>
          <w:tcPr>
            <w:tcW w:w="994"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期末公允价值</w:t>
            </w:r>
          </w:p>
        </w:tc>
        <w:tc>
          <w:tcPr>
            <w:tcW w:w="1740"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估值技术</w:t>
            </w:r>
          </w:p>
        </w:tc>
        <w:tc>
          <w:tcPr>
            <w:tcW w:w="925"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不可观察输入值</w:t>
            </w:r>
          </w:p>
        </w:tc>
      </w:tr>
      <w:tr w:rsidR="00CB63CD">
        <w:trPr>
          <w:divId w:val="501239570"/>
          <w:trHeight w:val="340"/>
          <w:jc w:val="center"/>
        </w:trPr>
        <w:tc>
          <w:tcPr>
            <w:tcW w:w="1341"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CB63CD" w:rsidRDefault="00CB63CD">
            <w:pPr>
              <w:pStyle w:val="a3"/>
              <w:spacing w:before="0" w:beforeAutospacing="0" w:after="0" w:afterAutospacing="0"/>
              <w:rPr>
                <w:rFonts w:ascii="Times New Roman" w:hAnsi="Times New Roman" w:cs="Times New Roman"/>
                <w:sz w:val="21"/>
                <w:szCs w:val="21"/>
              </w:rPr>
            </w:pPr>
            <w:r>
              <w:rPr>
                <w:rFonts w:cs="Times New Roman" w:hint="eastAsia"/>
                <w:color w:val="000000"/>
                <w:sz w:val="18"/>
                <w:szCs w:val="18"/>
              </w:rPr>
              <w:t>交易性金融资产组合</w:t>
            </w:r>
          </w:p>
        </w:tc>
        <w:tc>
          <w:tcPr>
            <w:tcW w:w="99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5,097,236.99</w:t>
            </w:r>
          </w:p>
        </w:tc>
        <w:tc>
          <w:tcPr>
            <w:tcW w:w="174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参照同类产品预期市场收益率折现</w:t>
            </w:r>
          </w:p>
        </w:tc>
        <w:tc>
          <w:tcPr>
            <w:tcW w:w="925"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预期市场收益率</w:t>
            </w:r>
          </w:p>
        </w:tc>
      </w:tr>
      <w:tr w:rsidR="00CB63CD">
        <w:trPr>
          <w:divId w:val="501239570"/>
          <w:trHeight w:val="340"/>
          <w:jc w:val="center"/>
        </w:trPr>
        <w:tc>
          <w:tcPr>
            <w:tcW w:w="1341"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CB63CD" w:rsidRDefault="00CB63CD">
            <w:pPr>
              <w:pStyle w:val="a3"/>
              <w:spacing w:before="0" w:beforeAutospacing="0" w:after="0" w:afterAutospacing="0"/>
              <w:rPr>
                <w:rFonts w:ascii="Times New Roman" w:hAnsi="Times New Roman" w:cs="Times New Roman"/>
                <w:sz w:val="21"/>
                <w:szCs w:val="21"/>
              </w:rPr>
            </w:pPr>
            <w:r>
              <w:rPr>
                <w:rFonts w:cs="Times New Roman" w:hint="eastAsia"/>
                <w:color w:val="000000"/>
                <w:sz w:val="18"/>
                <w:szCs w:val="18"/>
              </w:rPr>
              <w:t>其他非流动金融资产汇总1</w:t>
            </w:r>
          </w:p>
        </w:tc>
        <w:tc>
          <w:tcPr>
            <w:tcW w:w="99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952,949.46</w:t>
            </w:r>
          </w:p>
        </w:tc>
        <w:tc>
          <w:tcPr>
            <w:tcW w:w="174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参照净资产法计算</w:t>
            </w:r>
          </w:p>
        </w:tc>
        <w:tc>
          <w:tcPr>
            <w:tcW w:w="925"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净资产</w:t>
            </w:r>
          </w:p>
        </w:tc>
      </w:tr>
      <w:tr w:rsidR="00CB63CD">
        <w:trPr>
          <w:divId w:val="501239570"/>
          <w:trHeight w:val="340"/>
          <w:jc w:val="center"/>
        </w:trPr>
        <w:tc>
          <w:tcPr>
            <w:tcW w:w="1341"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CB63CD" w:rsidRDefault="00CB63CD">
            <w:pPr>
              <w:pStyle w:val="a3"/>
              <w:spacing w:before="0" w:beforeAutospacing="0" w:after="0" w:afterAutospacing="0"/>
              <w:rPr>
                <w:rFonts w:ascii="Times New Roman" w:hAnsi="Times New Roman" w:cs="Times New Roman"/>
                <w:sz w:val="21"/>
                <w:szCs w:val="21"/>
              </w:rPr>
            </w:pPr>
            <w:r>
              <w:rPr>
                <w:rFonts w:cs="Times New Roman" w:hint="eastAsia"/>
                <w:color w:val="000000"/>
                <w:sz w:val="18"/>
                <w:szCs w:val="18"/>
              </w:rPr>
              <w:t>其他非流动金融资产汇总2</w:t>
            </w:r>
          </w:p>
        </w:tc>
        <w:tc>
          <w:tcPr>
            <w:tcW w:w="99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707,349,797.29</w:t>
            </w:r>
          </w:p>
        </w:tc>
        <w:tc>
          <w:tcPr>
            <w:tcW w:w="174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CB63CD" w:rsidRDefault="00CB63CD">
            <w:pPr>
              <w:pStyle w:val="a3"/>
              <w:spacing w:before="0" w:beforeAutospacing="0" w:after="0" w:afterAutospacing="0"/>
              <w:rPr>
                <w:rFonts w:ascii="Times New Roman" w:hAnsi="Times New Roman" w:cs="Times New Roman"/>
                <w:sz w:val="21"/>
                <w:szCs w:val="21"/>
              </w:rPr>
            </w:pPr>
            <w:r>
              <w:rPr>
                <w:rFonts w:cs="Times New Roman" w:hint="eastAsia"/>
                <w:color w:val="000000"/>
                <w:sz w:val="18"/>
                <w:szCs w:val="18"/>
              </w:rPr>
              <w:t>参照可比上市公司市净率、流动性系数计算</w:t>
            </w:r>
          </w:p>
        </w:tc>
        <w:tc>
          <w:tcPr>
            <w:tcW w:w="925"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流动性折扣系数</w:t>
            </w:r>
          </w:p>
        </w:tc>
      </w:tr>
      <w:tr w:rsidR="00CB63CD">
        <w:trPr>
          <w:divId w:val="501239570"/>
          <w:trHeight w:val="340"/>
          <w:jc w:val="center"/>
        </w:trPr>
        <w:tc>
          <w:tcPr>
            <w:tcW w:w="1341"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合</w:t>
            </w:r>
            <w:r>
              <w:rPr>
                <w:rFonts w:ascii="Times New Roman" w:hAnsi="Times New Roman" w:cs="Times New Roman"/>
                <w:color w:val="000000"/>
                <w:sz w:val="18"/>
                <w:szCs w:val="18"/>
              </w:rPr>
              <w:t xml:space="preserve">   </w:t>
            </w:r>
            <w:r>
              <w:rPr>
                <w:rFonts w:cs="Times New Roman" w:hint="eastAsia"/>
                <w:color w:val="000000"/>
                <w:sz w:val="18"/>
                <w:szCs w:val="18"/>
              </w:rPr>
              <w:t>计</w:t>
            </w:r>
          </w:p>
        </w:tc>
        <w:tc>
          <w:tcPr>
            <w:tcW w:w="99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713,399,983.74</w:t>
            </w:r>
          </w:p>
        </w:tc>
        <w:tc>
          <w:tcPr>
            <w:tcW w:w="174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 </w:t>
            </w:r>
          </w:p>
        </w:tc>
        <w:tc>
          <w:tcPr>
            <w:tcW w:w="925"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 </w:t>
            </w:r>
          </w:p>
        </w:tc>
      </w:tr>
    </w:tbl>
    <w:p w:rsidR="00CB63CD" w:rsidRDefault="00CB63CD">
      <w:pPr>
        <w:divId w:val="501239570"/>
        <w:rPr>
          <w:rFonts w:ascii="宋体" w:hAnsi="宋体" w:cs="宋体"/>
          <w:sz w:val="24"/>
          <w:szCs w:val="24"/>
        </w:rPr>
      </w:pPr>
    </w:p>
    <w:p w:rsidR="00F068AD" w:rsidRDefault="00CB63CD">
      <w:pPr>
        <w:pStyle w:val="2"/>
        <w:spacing w:before="300" w:after="300" w:line="320" w:lineRule="exact"/>
        <w:rPr>
          <w:rFonts w:ascii="宋体" w:eastAsia="宋体" w:hAnsi="宋体" w:cs="宋体"/>
          <w:b/>
          <w:bCs/>
          <w:sz w:val="24"/>
          <w:szCs w:val="24"/>
        </w:rPr>
      </w:pPr>
      <w:bookmarkStart w:id="274" w:name="_Toc989165"/>
      <w:r>
        <w:rPr>
          <w:rFonts w:ascii="宋体" w:eastAsia="宋体" w:hAnsi="宋体" w:cs="宋体"/>
          <w:b/>
          <w:bCs/>
          <w:sz w:val="24"/>
          <w:szCs w:val="24"/>
        </w:rPr>
        <w:t>十二、关联方及关联交易</w:t>
      </w:r>
      <w:bookmarkEnd w:id="274"/>
    </w:p>
    <w:p w:rsidR="00F068AD" w:rsidRDefault="00CB63CD">
      <w:pPr>
        <w:pStyle w:val="3"/>
        <w:spacing w:line="280" w:lineRule="exact"/>
        <w:jc w:val="left"/>
        <w:rPr>
          <w:rFonts w:ascii="宋体" w:hAnsi="宋体" w:cs="宋体"/>
          <w:b/>
          <w:bCs/>
        </w:rPr>
      </w:pPr>
      <w:bookmarkStart w:id="275" w:name="_Toc989166"/>
      <w:r>
        <w:rPr>
          <w:rFonts w:ascii="宋体" w:hAnsi="宋体" w:cs="宋体"/>
          <w:b/>
          <w:bCs/>
        </w:rPr>
        <w:t>1、本企业的母公司情况</w:t>
      </w:r>
      <w:bookmarkEnd w:id="275"/>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母公司名称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注册地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业务性质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注册资本</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母公司对本企业的持股比例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母公司对本企业的表决权比例</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江阴市</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生产销售</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900,000.00万元人民币</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40.59%</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40.59%</w:t>
            </w:r>
          </w:p>
        </w:tc>
      </w:tr>
    </w:tbl>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本企业的母公司情况的说明</w:t>
      </w:r>
    </w:p>
    <w:p w:rsidR="00CB63CD" w:rsidRPr="0065280B" w:rsidRDefault="00CB63CD">
      <w:pPr>
        <w:spacing w:before="100" w:beforeAutospacing="1" w:after="100" w:afterAutospacing="1" w:line="360" w:lineRule="auto"/>
        <w:ind w:firstLine="360"/>
        <w:divId w:val="260141708"/>
        <w:rPr>
          <w:rFonts w:asciiTheme="minorEastAsia" w:hAnsiTheme="minorEastAsia"/>
        </w:rPr>
      </w:pPr>
      <w:r w:rsidRPr="0065280B">
        <w:rPr>
          <w:rFonts w:asciiTheme="minorEastAsia" w:hAnsiTheme="minorEastAsia" w:hint="eastAsia"/>
          <w:sz w:val="18"/>
          <w:szCs w:val="18"/>
        </w:rPr>
        <w:t>截止2022年6月30日，江苏华西集团有限公司累计持有本公司40.59%股份，持股数359,629,483股。</w:t>
      </w:r>
    </w:p>
    <w:p w:rsidR="00F068AD" w:rsidRDefault="00CB63CD" w:rsidP="0065280B">
      <w:pPr>
        <w:spacing w:before="100" w:beforeAutospacing="1" w:after="100" w:afterAutospacing="1" w:line="360" w:lineRule="auto"/>
        <w:ind w:firstLine="360"/>
        <w:rPr>
          <w:rFonts w:ascii="宋体" w:eastAsia="宋体" w:hAnsi="宋体" w:cs="宋体"/>
          <w:sz w:val="18"/>
          <w:szCs w:val="18"/>
        </w:rPr>
      </w:pPr>
      <w:r>
        <w:t> </w:t>
      </w:r>
      <w:r>
        <w:rPr>
          <w:rFonts w:ascii="宋体" w:eastAsia="宋体" w:hAnsi="宋体" w:cs="宋体"/>
          <w:sz w:val="18"/>
          <w:szCs w:val="18"/>
        </w:rPr>
        <w:t>本企业最终控制方是江阴市华士镇华西新市村村民委员会。</w:t>
      </w:r>
    </w:p>
    <w:p w:rsidR="00F068AD" w:rsidRDefault="00CB63CD">
      <w:pPr>
        <w:pStyle w:val="3"/>
        <w:spacing w:line="280" w:lineRule="exact"/>
        <w:jc w:val="left"/>
        <w:rPr>
          <w:rFonts w:ascii="宋体" w:hAnsi="宋体" w:cs="宋体"/>
          <w:b/>
          <w:bCs/>
        </w:rPr>
      </w:pPr>
      <w:bookmarkStart w:id="276" w:name="_Toc989167"/>
      <w:r>
        <w:rPr>
          <w:rFonts w:ascii="宋体" w:hAnsi="宋体" w:cs="宋体"/>
          <w:b/>
          <w:bCs/>
        </w:rPr>
        <w:t>2、本企业的子公司情况</w:t>
      </w:r>
      <w:bookmarkEnd w:id="276"/>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本企业子公司的情况详见附注九、1。</w:t>
      </w:r>
    </w:p>
    <w:p w:rsidR="00F068AD" w:rsidRDefault="00CB63CD">
      <w:pPr>
        <w:pStyle w:val="3"/>
        <w:spacing w:line="280" w:lineRule="exact"/>
        <w:jc w:val="left"/>
        <w:rPr>
          <w:rFonts w:ascii="宋体" w:hAnsi="宋体" w:cs="宋体"/>
          <w:b/>
          <w:bCs/>
        </w:rPr>
      </w:pPr>
      <w:bookmarkStart w:id="277" w:name="_Toc989168"/>
      <w:r>
        <w:rPr>
          <w:rFonts w:ascii="宋体" w:hAnsi="宋体" w:cs="宋体"/>
          <w:b/>
          <w:bCs/>
        </w:rPr>
        <w:lastRenderedPageBreak/>
        <w:t>3、本企业合营和联营企业情况</w:t>
      </w:r>
      <w:bookmarkEnd w:id="277"/>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本企业重要的合营或联营企业详见附注九、2。</w:t>
      </w:r>
    </w:p>
    <w:p w:rsidR="00F068AD" w:rsidRDefault="00CB63CD">
      <w:pPr>
        <w:pStyle w:val="3"/>
        <w:spacing w:line="280" w:lineRule="exact"/>
        <w:jc w:val="left"/>
        <w:rPr>
          <w:rFonts w:ascii="宋体" w:hAnsi="宋体" w:cs="宋体"/>
          <w:b/>
          <w:bCs/>
        </w:rPr>
      </w:pPr>
      <w:bookmarkStart w:id="278" w:name="_Toc989169"/>
      <w:r>
        <w:rPr>
          <w:rFonts w:ascii="宋体" w:hAnsi="宋体" w:cs="宋体"/>
          <w:b/>
          <w:bCs/>
        </w:rPr>
        <w:t>4、其他关联方情况</w:t>
      </w:r>
      <w:bookmarkEnd w:id="278"/>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其他关联方名称</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其他关联方与本企业关系</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母公司的参股企业</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江苏华西售电有限公司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母公司的参股企业</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江苏华西集团财务有限公司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同一母公司</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江阴市华西纺织有限公司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母公司的参股企业</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江阴华西船务有限公司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联营企业</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江阴华西华新针织品有限公司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同一母公司</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江阴市华士镇华西新市村股份经济合作社</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同一实际控制人</w:t>
            </w:r>
          </w:p>
        </w:tc>
      </w:tr>
    </w:tbl>
    <w:p w:rsidR="00F068AD" w:rsidRDefault="00CB63CD">
      <w:pPr>
        <w:pStyle w:val="3"/>
        <w:spacing w:line="280" w:lineRule="exact"/>
        <w:jc w:val="left"/>
        <w:rPr>
          <w:rFonts w:ascii="宋体" w:hAnsi="宋体" w:cs="宋体"/>
          <w:b/>
          <w:bCs/>
        </w:rPr>
      </w:pPr>
      <w:bookmarkStart w:id="279" w:name="_Toc989170"/>
      <w:bookmarkStart w:id="280" w:name="_GoBack"/>
      <w:bookmarkEnd w:id="280"/>
      <w:r>
        <w:rPr>
          <w:rFonts w:ascii="宋体" w:hAnsi="宋体" w:cs="宋体"/>
          <w:b/>
          <w:bCs/>
        </w:rPr>
        <w:t>5、关联交易情况</w:t>
      </w:r>
      <w:bookmarkEnd w:id="279"/>
    </w:p>
    <w:p w:rsidR="00F068AD" w:rsidRDefault="00CB63CD">
      <w:pPr>
        <w:keepNext/>
        <w:keepLines/>
        <w:spacing w:before="300" w:after="300" w:line="280" w:lineRule="exact"/>
        <w:outlineLvl w:val="3"/>
        <w:rPr>
          <w:rFonts w:ascii="宋体" w:eastAsia="宋体" w:hAnsi="宋体" w:cs="宋体"/>
          <w:b/>
          <w:bCs/>
          <w:szCs w:val="21"/>
        </w:rPr>
      </w:pPr>
      <w:bookmarkStart w:id="281" w:name="_Toc989171"/>
      <w:r>
        <w:rPr>
          <w:rFonts w:ascii="宋体" w:eastAsia="宋体" w:hAnsi="宋体" w:cs="宋体"/>
          <w:b/>
          <w:bCs/>
          <w:szCs w:val="21"/>
        </w:rPr>
        <w:t>（1） 购销商品、提供和接受劳务的关联交易</w:t>
      </w:r>
      <w:bookmarkEnd w:id="281"/>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采购商品/接受劳务情况表</w:t>
      </w:r>
    </w:p>
    <w:p w:rsidR="00F068AD" w:rsidRDefault="00CB63C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F068AD" w:rsidTr="0065280B">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关联交易内容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获批的交易额度</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是否超过交易额度</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068AD" w:rsidTr="0065280B">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江苏华西集团有限公司及其他下属子公司</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商品劳务</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5,848,659.41</w:t>
            </w:r>
          </w:p>
        </w:tc>
        <w:tc>
          <w:tcPr>
            <w:tcW w:w="160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11,000,000.00</w:t>
            </w:r>
          </w:p>
        </w:tc>
        <w:tc>
          <w:tcPr>
            <w:tcW w:w="160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8,497,503.49</w:t>
            </w:r>
          </w:p>
        </w:tc>
      </w:tr>
      <w:tr w:rsidR="0065280B" w:rsidTr="0002119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65280B" w:rsidRDefault="0065280B">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65280B" w:rsidRDefault="0065280B">
            <w:pPr>
              <w:spacing w:line="240" w:lineRule="exact"/>
              <w:rPr>
                <w:rFonts w:ascii="宋体" w:eastAsia="宋体" w:hAnsi="宋体" w:cs="宋体"/>
                <w:sz w:val="18"/>
                <w:szCs w:val="18"/>
              </w:rPr>
            </w:pPr>
            <w:r>
              <w:rPr>
                <w:rFonts w:ascii="宋体" w:eastAsia="宋体" w:hAnsi="宋体" w:cs="宋体"/>
                <w:sz w:val="18"/>
                <w:szCs w:val="18"/>
              </w:rPr>
              <w:t>商品</w:t>
            </w:r>
          </w:p>
        </w:tc>
        <w:tc>
          <w:tcPr>
            <w:tcW w:w="1606" w:type="dxa"/>
            <w:tcBorders>
              <w:top w:val="single" w:sz="2" w:space="0" w:color="auto"/>
              <w:left w:val="single" w:sz="2" w:space="0" w:color="auto"/>
              <w:bottom w:val="single" w:sz="2" w:space="0" w:color="auto"/>
              <w:right w:val="single" w:sz="2" w:space="0" w:color="auto"/>
            </w:tcBorders>
            <w:vAlign w:val="center"/>
          </w:tcPr>
          <w:p w:rsidR="0065280B" w:rsidRDefault="0065280B">
            <w:pPr>
              <w:spacing w:line="240" w:lineRule="exact"/>
              <w:jc w:val="right"/>
              <w:rPr>
                <w:rFonts w:ascii="宋体" w:eastAsia="宋体" w:hAnsi="宋体" w:cs="宋体"/>
                <w:sz w:val="18"/>
                <w:szCs w:val="18"/>
              </w:rPr>
            </w:pPr>
            <w:r>
              <w:rPr>
                <w:rFonts w:ascii="宋体" w:eastAsia="宋体" w:hAnsi="宋体" w:cs="宋体"/>
                <w:sz w:val="18"/>
                <w:szCs w:val="18"/>
              </w:rPr>
              <w:t>27,598,586.66</w:t>
            </w:r>
          </w:p>
        </w:tc>
        <w:tc>
          <w:tcPr>
            <w:tcW w:w="1606" w:type="dxa"/>
            <w:vMerge w:val="restart"/>
            <w:tcBorders>
              <w:top w:val="single" w:sz="2" w:space="0" w:color="auto"/>
              <w:left w:val="single" w:sz="2" w:space="0" w:color="auto"/>
              <w:right w:val="single" w:sz="2" w:space="0" w:color="auto"/>
            </w:tcBorders>
            <w:vAlign w:val="center"/>
          </w:tcPr>
          <w:p w:rsidR="0065280B" w:rsidRDefault="0065280B">
            <w:pPr>
              <w:spacing w:line="240" w:lineRule="exact"/>
              <w:jc w:val="right"/>
              <w:rPr>
                <w:rFonts w:ascii="宋体" w:eastAsia="宋体" w:hAnsi="宋体" w:cs="宋体"/>
                <w:sz w:val="18"/>
                <w:szCs w:val="18"/>
              </w:rPr>
            </w:pPr>
            <w:r>
              <w:rPr>
                <w:rFonts w:ascii="宋体" w:eastAsia="宋体" w:hAnsi="宋体" w:cs="宋体"/>
                <w:sz w:val="18"/>
                <w:szCs w:val="18"/>
              </w:rPr>
              <w:t>90,000,000.00</w:t>
            </w:r>
          </w:p>
        </w:tc>
        <w:tc>
          <w:tcPr>
            <w:tcW w:w="1606" w:type="dxa"/>
            <w:vMerge w:val="restart"/>
            <w:tcBorders>
              <w:top w:val="single" w:sz="2" w:space="0" w:color="auto"/>
              <w:left w:val="single" w:sz="2" w:space="0" w:color="auto"/>
              <w:right w:val="single" w:sz="2" w:space="0" w:color="auto"/>
            </w:tcBorders>
            <w:vAlign w:val="center"/>
          </w:tcPr>
          <w:p w:rsidR="0065280B" w:rsidRDefault="0065280B" w:rsidP="0002119E">
            <w:pPr>
              <w:spacing w:line="240" w:lineRule="exact"/>
              <w:rPr>
                <w:rFonts w:ascii="宋体" w:eastAsia="宋体" w:hAnsi="宋体" w:cs="宋体"/>
                <w:sz w:val="18"/>
                <w:szCs w:val="18"/>
              </w:rPr>
            </w:pPr>
            <w:r>
              <w:rPr>
                <w:rFonts w:ascii="宋体" w:eastAsia="宋体" w:hAnsi="宋体"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rsidR="0065280B" w:rsidRDefault="0065280B">
            <w:pPr>
              <w:spacing w:line="240" w:lineRule="exact"/>
              <w:jc w:val="right"/>
              <w:rPr>
                <w:rFonts w:ascii="宋体" w:eastAsia="宋体" w:hAnsi="宋体" w:cs="宋体"/>
                <w:sz w:val="18"/>
                <w:szCs w:val="18"/>
              </w:rPr>
            </w:pPr>
            <w:r>
              <w:rPr>
                <w:rFonts w:ascii="宋体" w:eastAsia="宋体" w:hAnsi="宋体" w:cs="宋体"/>
                <w:sz w:val="18"/>
                <w:szCs w:val="18"/>
              </w:rPr>
              <w:t>38,199,597.91</w:t>
            </w:r>
          </w:p>
        </w:tc>
      </w:tr>
      <w:tr w:rsidR="0065280B" w:rsidTr="0002119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65280B" w:rsidRDefault="00B23394">
            <w:pPr>
              <w:spacing w:line="240" w:lineRule="exact"/>
              <w:rPr>
                <w:rFonts w:ascii="宋体" w:eastAsia="宋体" w:hAnsi="宋体" w:cs="宋体"/>
                <w:sz w:val="18"/>
                <w:szCs w:val="18"/>
              </w:rPr>
            </w:pPr>
            <w:r>
              <w:rPr>
                <w:rFonts w:ascii="宋体" w:eastAsia="宋体" w:hAnsi="宋体" w:cs="宋体"/>
                <w:sz w:val="18"/>
                <w:szCs w:val="18"/>
              </w:rPr>
              <w:t>江苏华西售电有限公司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65280B" w:rsidRDefault="0065280B">
            <w:pPr>
              <w:spacing w:line="240" w:lineRule="exact"/>
              <w:rPr>
                <w:rFonts w:ascii="宋体" w:eastAsia="宋体" w:hAnsi="宋体" w:cs="宋体"/>
                <w:sz w:val="18"/>
                <w:szCs w:val="18"/>
              </w:rPr>
            </w:pPr>
            <w:r>
              <w:rPr>
                <w:rFonts w:ascii="宋体" w:eastAsia="宋体" w:hAnsi="宋体" w:cs="宋体"/>
                <w:sz w:val="18"/>
                <w:szCs w:val="18"/>
              </w:rPr>
              <w:t>商品</w:t>
            </w:r>
          </w:p>
        </w:tc>
        <w:tc>
          <w:tcPr>
            <w:tcW w:w="1606" w:type="dxa"/>
            <w:tcBorders>
              <w:top w:val="single" w:sz="2" w:space="0" w:color="auto"/>
              <w:left w:val="single" w:sz="2" w:space="0" w:color="auto"/>
              <w:bottom w:val="single" w:sz="2" w:space="0" w:color="auto"/>
              <w:right w:val="single" w:sz="2" w:space="0" w:color="auto"/>
            </w:tcBorders>
            <w:vAlign w:val="center"/>
          </w:tcPr>
          <w:p w:rsidR="0065280B" w:rsidRDefault="0065280B">
            <w:pPr>
              <w:spacing w:line="240" w:lineRule="exact"/>
              <w:jc w:val="right"/>
              <w:rPr>
                <w:rFonts w:ascii="宋体" w:eastAsia="宋体" w:hAnsi="宋体" w:cs="宋体"/>
                <w:sz w:val="18"/>
                <w:szCs w:val="18"/>
              </w:rPr>
            </w:pPr>
            <w:r>
              <w:rPr>
                <w:rFonts w:ascii="宋体" w:eastAsia="宋体" w:hAnsi="宋体" w:cs="宋体"/>
                <w:sz w:val="18"/>
                <w:szCs w:val="18"/>
              </w:rPr>
              <w:t>17,541,004.54</w:t>
            </w:r>
          </w:p>
        </w:tc>
        <w:tc>
          <w:tcPr>
            <w:tcW w:w="1607" w:type="dxa"/>
            <w:vMerge/>
            <w:tcBorders>
              <w:left w:val="single" w:sz="2" w:space="0" w:color="auto"/>
              <w:bottom w:val="single" w:sz="2" w:space="0" w:color="auto"/>
              <w:right w:val="single" w:sz="2" w:space="0" w:color="auto"/>
            </w:tcBorders>
            <w:vAlign w:val="center"/>
          </w:tcPr>
          <w:p w:rsidR="0065280B" w:rsidRDefault="0065280B">
            <w:pPr>
              <w:spacing w:line="240" w:lineRule="exact"/>
              <w:jc w:val="right"/>
              <w:rPr>
                <w:rFonts w:ascii="宋体" w:eastAsia="宋体" w:hAnsi="宋体" w:cs="宋体"/>
                <w:sz w:val="18"/>
                <w:szCs w:val="18"/>
              </w:rPr>
            </w:pPr>
          </w:p>
        </w:tc>
        <w:tc>
          <w:tcPr>
            <w:tcW w:w="1607" w:type="dxa"/>
            <w:vMerge/>
            <w:tcBorders>
              <w:left w:val="single" w:sz="2" w:space="0" w:color="auto"/>
              <w:bottom w:val="single" w:sz="2" w:space="0" w:color="auto"/>
              <w:right w:val="single" w:sz="2" w:space="0" w:color="auto"/>
            </w:tcBorders>
            <w:vAlign w:val="center"/>
          </w:tcPr>
          <w:p w:rsidR="0065280B" w:rsidRDefault="0065280B">
            <w:pPr>
              <w:spacing w:line="24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65280B" w:rsidRDefault="0065280B">
            <w:pPr>
              <w:spacing w:line="240" w:lineRule="exact"/>
              <w:jc w:val="right"/>
              <w:rPr>
                <w:rFonts w:ascii="宋体" w:eastAsia="宋体" w:hAnsi="宋体" w:cs="宋体"/>
                <w:sz w:val="18"/>
                <w:szCs w:val="18"/>
              </w:rPr>
            </w:pPr>
            <w:r>
              <w:rPr>
                <w:rFonts w:ascii="宋体" w:eastAsia="宋体" w:hAnsi="宋体" w:cs="宋体" w:hint="eastAsia"/>
                <w:sz w:val="18"/>
                <w:szCs w:val="18"/>
              </w:rPr>
              <w:t>0.00</w:t>
            </w:r>
          </w:p>
        </w:tc>
      </w:tr>
    </w:tbl>
    <w:p w:rsidR="00F068AD" w:rsidRDefault="00CB63CD">
      <w:pPr>
        <w:spacing w:before="100" w:after="40" w:line="240" w:lineRule="exact"/>
        <w:rPr>
          <w:rFonts w:ascii="宋体" w:eastAsia="宋体" w:hAnsi="宋体" w:cs="宋体"/>
          <w:sz w:val="18"/>
          <w:szCs w:val="18"/>
        </w:rPr>
      </w:pPr>
      <w:r>
        <w:rPr>
          <w:rFonts w:ascii="宋体" w:eastAsia="宋体" w:hAnsi="宋体" w:cs="宋体"/>
          <w:sz w:val="18"/>
          <w:szCs w:val="18"/>
        </w:rPr>
        <w:t>出售商品/提供劳务情况表</w:t>
      </w:r>
    </w:p>
    <w:p w:rsidR="00F068AD" w:rsidRDefault="00CB63C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关联交易内容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江阴华西船务有限公司</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劳务</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91,061.32</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62,556.60</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江阴市华西纺织有限公司</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商品</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1,910,034.70</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1,534,258.40</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江阴华西华新针织品有限公司</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劳务</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16,130.19</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bl>
    <w:p w:rsidR="00F068AD" w:rsidRDefault="00CB63CD">
      <w:pPr>
        <w:keepNext/>
        <w:keepLines/>
        <w:spacing w:before="300" w:after="300" w:line="280" w:lineRule="exact"/>
        <w:outlineLvl w:val="3"/>
        <w:rPr>
          <w:rFonts w:ascii="宋体" w:eastAsia="宋体" w:hAnsi="宋体" w:cs="宋体"/>
          <w:b/>
          <w:bCs/>
          <w:szCs w:val="21"/>
        </w:rPr>
      </w:pPr>
      <w:bookmarkStart w:id="282" w:name="_Toc989172"/>
      <w:r>
        <w:rPr>
          <w:rFonts w:ascii="宋体" w:eastAsia="宋体" w:hAnsi="宋体" w:cs="宋体"/>
          <w:b/>
          <w:bCs/>
          <w:szCs w:val="21"/>
        </w:rPr>
        <w:t>（2） 关联租赁情况</w:t>
      </w:r>
      <w:bookmarkEnd w:id="282"/>
    </w:p>
    <w:p w:rsidR="00F068AD" w:rsidRDefault="00CB63CD">
      <w:pPr>
        <w:spacing w:before="100" w:after="40" w:line="240" w:lineRule="exact"/>
        <w:rPr>
          <w:rFonts w:ascii="宋体" w:eastAsia="宋体" w:hAnsi="宋体" w:cs="宋体"/>
          <w:sz w:val="18"/>
          <w:szCs w:val="18"/>
        </w:rPr>
      </w:pPr>
      <w:r>
        <w:rPr>
          <w:rFonts w:ascii="宋体" w:eastAsia="宋体" w:hAnsi="宋体" w:cs="宋体"/>
          <w:sz w:val="18"/>
          <w:szCs w:val="18"/>
        </w:rPr>
        <w:t>本公司作为承租方：</w:t>
      </w:r>
    </w:p>
    <w:p w:rsidR="00F068AD" w:rsidRDefault="00CB63C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04"/>
        <w:gridCol w:w="804"/>
        <w:gridCol w:w="804"/>
        <w:gridCol w:w="803"/>
        <w:gridCol w:w="803"/>
        <w:gridCol w:w="803"/>
        <w:gridCol w:w="803"/>
        <w:gridCol w:w="803"/>
        <w:gridCol w:w="803"/>
        <w:gridCol w:w="803"/>
        <w:gridCol w:w="803"/>
        <w:gridCol w:w="803"/>
      </w:tblGrid>
      <w:tr w:rsidR="00F068AD">
        <w:trPr>
          <w:trHeight w:val="240"/>
        </w:trPr>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出租方名称</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租赁资产种类</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简化处理的短期租赁和低价值资产租赁的租金费用（如适用）</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未纳入租赁负债计量的可变租赁付款额（如适用）</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支付的租金</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承担的租赁负债利息支出</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增加的使用权资产</w:t>
            </w:r>
          </w:p>
        </w:tc>
      </w:tr>
      <w:tr w:rsidR="00F068AD">
        <w:trPr>
          <w:trHeight w:val="240"/>
        </w:trPr>
        <w:tc>
          <w:tcPr>
            <w:tcW w:w="803" w:type="dxa"/>
            <w:vMerge/>
            <w:tcBorders>
              <w:top w:val="single" w:sz="2" w:space="0" w:color="auto"/>
              <w:left w:val="single" w:sz="2" w:space="0" w:color="auto"/>
              <w:bottom w:val="single" w:sz="2" w:space="0" w:color="auto"/>
              <w:right w:val="single" w:sz="2" w:space="0" w:color="auto"/>
            </w:tcBorders>
            <w:vAlign w:val="center"/>
          </w:tcPr>
          <w:p w:rsidR="00F068AD" w:rsidRDefault="00F068AD"/>
        </w:tc>
        <w:tc>
          <w:tcPr>
            <w:tcW w:w="803" w:type="dxa"/>
            <w:vMerge/>
            <w:tcBorders>
              <w:top w:val="single" w:sz="2" w:space="0" w:color="auto"/>
              <w:left w:val="single" w:sz="2" w:space="0" w:color="auto"/>
              <w:bottom w:val="single" w:sz="2" w:space="0" w:color="auto"/>
              <w:right w:val="single" w:sz="2" w:space="0" w:color="auto"/>
            </w:tcBorders>
            <w:vAlign w:val="center"/>
          </w:tcPr>
          <w:p w:rsidR="00F068AD" w:rsidRDefault="00F068AD"/>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068AD">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江阴市</w:t>
            </w:r>
            <w:r>
              <w:rPr>
                <w:rFonts w:ascii="宋体" w:eastAsia="宋体" w:hAnsi="宋体" w:cs="宋体"/>
                <w:sz w:val="18"/>
                <w:szCs w:val="18"/>
              </w:rPr>
              <w:lastRenderedPageBreak/>
              <w:t>华士镇华西新市村股份经济合作社</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lastRenderedPageBreak/>
              <w:t>土地使</w:t>
            </w:r>
            <w:r>
              <w:rPr>
                <w:rFonts w:ascii="宋体" w:eastAsia="宋体" w:hAnsi="宋体" w:cs="宋体"/>
                <w:sz w:val="18"/>
                <w:szCs w:val="18"/>
              </w:rPr>
              <w:lastRenderedPageBreak/>
              <w:t>用权</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lastRenderedPageBreak/>
              <w:t>2,297,</w:t>
            </w:r>
            <w:r>
              <w:rPr>
                <w:rFonts w:ascii="宋体" w:eastAsia="宋体" w:hAnsi="宋体" w:cs="宋体"/>
                <w:sz w:val="18"/>
                <w:szCs w:val="18"/>
              </w:rPr>
              <w:lastRenderedPageBreak/>
              <w:t>366.30</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2,297,</w:t>
            </w:r>
            <w:r>
              <w:rPr>
                <w:rFonts w:ascii="宋体" w:eastAsia="宋体" w:hAnsi="宋体" w:cs="宋体"/>
                <w:sz w:val="18"/>
                <w:szCs w:val="18"/>
              </w:rPr>
              <w:lastRenderedPageBreak/>
              <w:t>366.30</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lastRenderedPageBreak/>
              <w:t>0.00</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lastRenderedPageBreak/>
              <w:t>江阴市华士镇华西新市村股份经济合作社</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房屋</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587,089.00</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123,900.00</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376,789.00</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123,900.00</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土地使用权</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35,560.15</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35,560.15</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35,560.15</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bl>
    <w:p w:rsidR="00F068AD" w:rsidRDefault="00CB63CD">
      <w:pPr>
        <w:keepNext/>
        <w:keepLines/>
        <w:spacing w:before="300" w:after="300" w:line="280" w:lineRule="exact"/>
        <w:outlineLvl w:val="3"/>
        <w:rPr>
          <w:rFonts w:ascii="宋体" w:eastAsia="宋体" w:hAnsi="宋体" w:cs="宋体"/>
          <w:b/>
          <w:bCs/>
          <w:szCs w:val="21"/>
        </w:rPr>
      </w:pPr>
      <w:bookmarkStart w:id="283" w:name="_Toc989173"/>
      <w:r>
        <w:rPr>
          <w:rFonts w:ascii="宋体" w:eastAsia="宋体" w:hAnsi="宋体" w:cs="宋体"/>
          <w:b/>
          <w:bCs/>
          <w:szCs w:val="21"/>
        </w:rPr>
        <w:t>（3） 关联担保情况</w:t>
      </w:r>
      <w:bookmarkEnd w:id="283"/>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本公司作为担保方</w:t>
      </w:r>
    </w:p>
    <w:p w:rsidR="00F068AD" w:rsidRDefault="00CB63C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被担保方</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担保金额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担保起始日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担保到期日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担保是否已经履行完毕</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99,960,000.00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2021年04月25日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2022年08月18日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否</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100,000,000.00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2021年05月21日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2022年09月18日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否</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200,000,000.00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2021年07月06日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2022年07月04日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否</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90,000,000.00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2021年07月09日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2022年07月06日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否</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60,000,000.00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2021年07月12日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2022年07月08日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否</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2021年07月20日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2022年07月20日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否</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2021年08月13日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2022年08月11日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否</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200,000,000.00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2020年09月29日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2023年03月29日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否</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30,000,000.00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2021年10月28日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2022年10月28日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否</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40,000,000.00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2022年02月25日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2022年08月25日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否</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31,100,000.00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2022年03月22日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2023年03月21日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否</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30,000,000.00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2021年11月11日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2022年11月10日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否</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20,000,000.00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2021年12月02日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2022年12月01日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否</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65,000,000.00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2022年01月28日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2022年07月22日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否</w:t>
            </w:r>
          </w:p>
        </w:tc>
      </w:tr>
    </w:tbl>
    <w:p w:rsidR="0065280B" w:rsidRDefault="0065280B">
      <w:pPr>
        <w:spacing w:before="100" w:after="40" w:line="240" w:lineRule="exact"/>
        <w:rPr>
          <w:rFonts w:ascii="宋体" w:eastAsia="宋体" w:hAnsi="宋体" w:cs="宋体"/>
          <w:sz w:val="18"/>
          <w:szCs w:val="18"/>
        </w:rPr>
      </w:pPr>
      <w:r>
        <w:rPr>
          <w:rFonts w:ascii="宋体" w:eastAsia="宋体" w:hAnsi="宋体" w:cs="宋体" w:hint="eastAsia"/>
          <w:sz w:val="18"/>
          <w:szCs w:val="18"/>
        </w:rPr>
        <w:t>注：截止报告期末，公司对江苏华西集团有限公司及关联人实际担保总额为8.661亿元。</w:t>
      </w:r>
    </w:p>
    <w:p w:rsidR="0065280B" w:rsidRDefault="0065280B">
      <w:pPr>
        <w:spacing w:before="100" w:after="40" w:line="240" w:lineRule="exact"/>
        <w:rPr>
          <w:rFonts w:ascii="宋体" w:eastAsia="宋体" w:hAnsi="宋体" w:cs="宋体"/>
          <w:sz w:val="18"/>
          <w:szCs w:val="18"/>
        </w:rPr>
      </w:pPr>
    </w:p>
    <w:p w:rsidR="00F068AD" w:rsidRDefault="00CB63CD">
      <w:pPr>
        <w:spacing w:before="100" w:after="40" w:line="240" w:lineRule="exact"/>
        <w:rPr>
          <w:rFonts w:ascii="宋体" w:eastAsia="宋体" w:hAnsi="宋体" w:cs="宋体"/>
          <w:sz w:val="18"/>
          <w:szCs w:val="18"/>
        </w:rPr>
      </w:pPr>
      <w:r>
        <w:rPr>
          <w:rFonts w:ascii="宋体" w:eastAsia="宋体" w:hAnsi="宋体" w:cs="宋体"/>
          <w:sz w:val="18"/>
          <w:szCs w:val="18"/>
        </w:rPr>
        <w:t>本公司作为被担保方</w:t>
      </w:r>
    </w:p>
    <w:p w:rsidR="00F068AD" w:rsidRDefault="00CB63C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F068AD" w:rsidTr="00ED36E7">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担保方</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担保金额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担保起始日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担保到期日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担保是否已经履行完毕</w:t>
            </w:r>
          </w:p>
        </w:tc>
      </w:tr>
      <w:tr w:rsidR="00ED36E7" w:rsidTr="0002119E">
        <w:trPr>
          <w:trHeight w:val="240"/>
        </w:trPr>
        <w:tc>
          <w:tcPr>
            <w:tcW w:w="9639" w:type="dxa"/>
            <w:gridSpan w:val="5"/>
            <w:tcBorders>
              <w:top w:val="single" w:sz="2" w:space="0" w:color="auto"/>
              <w:left w:val="single" w:sz="2" w:space="0" w:color="auto"/>
              <w:bottom w:val="single" w:sz="2" w:space="0" w:color="auto"/>
              <w:right w:val="single" w:sz="2" w:space="0" w:color="auto"/>
            </w:tcBorders>
            <w:vAlign w:val="center"/>
          </w:tcPr>
          <w:p w:rsidR="00ED36E7" w:rsidRDefault="00ED36E7">
            <w:pPr>
              <w:spacing w:line="240" w:lineRule="exact"/>
              <w:rPr>
                <w:rFonts w:ascii="宋体" w:eastAsia="宋体" w:hAnsi="宋体" w:cs="宋体"/>
                <w:sz w:val="18"/>
                <w:szCs w:val="18"/>
              </w:rPr>
            </w:pPr>
            <w:r>
              <w:rPr>
                <w:rFonts w:ascii="宋体" w:eastAsia="宋体" w:hAnsi="宋体" w:cs="宋体"/>
                <w:sz w:val="18"/>
                <w:szCs w:val="18"/>
              </w:rPr>
              <w:t>应付票据：</w:t>
            </w:r>
          </w:p>
        </w:tc>
      </w:tr>
      <w:tr w:rsidR="00F068AD" w:rsidTr="00ED36E7">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25,000,000.00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2022年01月29日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2022年07月29日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否</w:t>
            </w:r>
          </w:p>
        </w:tc>
      </w:tr>
      <w:tr w:rsidR="00F068AD" w:rsidTr="00ED36E7">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25,000,000.00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2022年02月17日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2022年08月17日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否</w:t>
            </w:r>
          </w:p>
        </w:tc>
      </w:tr>
      <w:tr w:rsidR="00ED36E7" w:rsidTr="0002119E">
        <w:trPr>
          <w:trHeight w:val="240"/>
        </w:trPr>
        <w:tc>
          <w:tcPr>
            <w:tcW w:w="9639" w:type="dxa"/>
            <w:gridSpan w:val="5"/>
            <w:tcBorders>
              <w:top w:val="single" w:sz="2" w:space="0" w:color="auto"/>
              <w:left w:val="single" w:sz="2" w:space="0" w:color="auto"/>
              <w:bottom w:val="single" w:sz="2" w:space="0" w:color="auto"/>
              <w:right w:val="single" w:sz="2" w:space="0" w:color="auto"/>
            </w:tcBorders>
            <w:vAlign w:val="center"/>
          </w:tcPr>
          <w:p w:rsidR="00ED36E7" w:rsidRDefault="00ED36E7">
            <w:pPr>
              <w:spacing w:line="240" w:lineRule="exact"/>
              <w:rPr>
                <w:rFonts w:ascii="宋体" w:eastAsia="宋体" w:hAnsi="宋体" w:cs="宋体"/>
                <w:sz w:val="18"/>
                <w:szCs w:val="18"/>
              </w:rPr>
            </w:pPr>
            <w:r>
              <w:rPr>
                <w:rFonts w:ascii="宋体" w:eastAsia="宋体" w:hAnsi="宋体" w:cs="宋体"/>
                <w:sz w:val="18"/>
                <w:szCs w:val="18"/>
              </w:rPr>
              <w:t>应付账款</w:t>
            </w:r>
            <w:r>
              <w:rPr>
                <w:rFonts w:ascii="宋体" w:eastAsia="宋体" w:hAnsi="宋体" w:cs="宋体" w:hint="eastAsia"/>
                <w:sz w:val="18"/>
                <w:szCs w:val="18"/>
              </w:rPr>
              <w:t>-国际信用证：</w:t>
            </w:r>
          </w:p>
        </w:tc>
      </w:tr>
      <w:tr w:rsidR="00F068AD" w:rsidTr="00ED36E7">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3,036,219.24</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2022年05月23日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2022年08月10日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否</w:t>
            </w:r>
          </w:p>
        </w:tc>
      </w:tr>
      <w:tr w:rsidR="00ED36E7" w:rsidTr="0002119E">
        <w:trPr>
          <w:trHeight w:val="240"/>
        </w:trPr>
        <w:tc>
          <w:tcPr>
            <w:tcW w:w="9639" w:type="dxa"/>
            <w:gridSpan w:val="5"/>
            <w:tcBorders>
              <w:top w:val="single" w:sz="2" w:space="0" w:color="auto"/>
              <w:left w:val="single" w:sz="2" w:space="0" w:color="auto"/>
              <w:bottom w:val="single" w:sz="2" w:space="0" w:color="auto"/>
              <w:right w:val="single" w:sz="2" w:space="0" w:color="auto"/>
            </w:tcBorders>
            <w:vAlign w:val="center"/>
          </w:tcPr>
          <w:p w:rsidR="00ED36E7" w:rsidRDefault="00ED36E7">
            <w:pPr>
              <w:spacing w:line="240" w:lineRule="exact"/>
              <w:rPr>
                <w:rFonts w:ascii="宋体" w:eastAsia="宋体" w:hAnsi="宋体" w:cs="宋体"/>
                <w:sz w:val="18"/>
                <w:szCs w:val="18"/>
              </w:rPr>
            </w:pPr>
            <w:r>
              <w:rPr>
                <w:rFonts w:ascii="宋体" w:eastAsia="宋体" w:hAnsi="宋体" w:cs="宋体"/>
                <w:sz w:val="18"/>
                <w:szCs w:val="18"/>
              </w:rPr>
              <w:t>短期借款：</w:t>
            </w:r>
          </w:p>
        </w:tc>
      </w:tr>
      <w:tr w:rsidR="00F068AD" w:rsidTr="00ED36E7">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100,000,000.00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2022年05月12日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2022年11月10日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否</w:t>
            </w:r>
          </w:p>
        </w:tc>
      </w:tr>
      <w:tr w:rsidR="00F068AD" w:rsidTr="00ED36E7">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78,000,000.00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2022年03月10日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2023年03月09日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否</w:t>
            </w:r>
          </w:p>
        </w:tc>
      </w:tr>
      <w:tr w:rsidR="00F068AD" w:rsidTr="00ED36E7">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73,000,000.00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2021年09月07日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2022年09月06日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否</w:t>
            </w:r>
          </w:p>
        </w:tc>
      </w:tr>
      <w:tr w:rsidR="00F068AD" w:rsidTr="00ED36E7">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15,000,000.00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2021年09月17日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2022年09月16日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否</w:t>
            </w:r>
          </w:p>
        </w:tc>
      </w:tr>
      <w:tr w:rsidR="00F068AD" w:rsidTr="00ED36E7">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62,000,000.00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2022年03月21日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2023年03月21日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否</w:t>
            </w:r>
          </w:p>
        </w:tc>
      </w:tr>
      <w:tr w:rsidR="00F068AD" w:rsidTr="00ED36E7">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42,000,000.00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2022年02月15日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2023年02月14日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否</w:t>
            </w:r>
          </w:p>
        </w:tc>
      </w:tr>
      <w:tr w:rsidR="00F068AD" w:rsidTr="00ED36E7">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30,000,000.00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2022年02月22日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2023年02月21日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否</w:t>
            </w:r>
          </w:p>
        </w:tc>
      </w:tr>
      <w:tr w:rsidR="00F068AD" w:rsidTr="00ED36E7">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江苏华西集团有限公司、江阴市华西热电有限公司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2022年04月14日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2023年04月13日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否</w:t>
            </w:r>
          </w:p>
        </w:tc>
      </w:tr>
      <w:tr w:rsidR="00F068AD" w:rsidTr="00ED36E7">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江苏华西集团有限公司、江阴市华西热电有限公司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2022年05月20日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2023年05月15日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否</w:t>
            </w:r>
          </w:p>
        </w:tc>
      </w:tr>
      <w:tr w:rsidR="00F068AD" w:rsidTr="00ED36E7">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江苏华西集团有限公司、江阴市华西热电有限公司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2022年05月30日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2023年05月29日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否</w:t>
            </w:r>
          </w:p>
        </w:tc>
      </w:tr>
      <w:tr w:rsidR="00F068AD" w:rsidTr="00ED36E7">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20,000,000.00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2022年02月09日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2022年08月09日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否</w:t>
            </w:r>
          </w:p>
        </w:tc>
      </w:tr>
      <w:tr w:rsidR="00F068AD" w:rsidTr="00ED36E7">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74,000,000.00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2022年05月07日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2022年11月06日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否</w:t>
            </w:r>
          </w:p>
        </w:tc>
      </w:tr>
      <w:tr w:rsidR="00F068AD" w:rsidTr="00ED36E7">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100,000,000.00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2022年06月27日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2023年06月24日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否</w:t>
            </w:r>
          </w:p>
        </w:tc>
      </w:tr>
      <w:tr w:rsidR="00F068AD" w:rsidTr="00ED36E7">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2022年06月28日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2022年12月26日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否</w:t>
            </w:r>
          </w:p>
        </w:tc>
      </w:tr>
      <w:tr w:rsidR="00F068AD" w:rsidTr="00ED36E7">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25,000,000.00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2022年05月13日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2022年11月13日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否</w:t>
            </w:r>
          </w:p>
        </w:tc>
      </w:tr>
    </w:tbl>
    <w:p w:rsidR="00F068AD" w:rsidRDefault="00CB63CD">
      <w:pPr>
        <w:keepNext/>
        <w:keepLines/>
        <w:spacing w:before="300" w:after="300" w:line="280" w:lineRule="exact"/>
        <w:outlineLvl w:val="3"/>
        <w:rPr>
          <w:rFonts w:ascii="宋体" w:eastAsia="宋体" w:hAnsi="宋体" w:cs="宋体"/>
          <w:b/>
          <w:bCs/>
          <w:szCs w:val="21"/>
        </w:rPr>
      </w:pPr>
      <w:bookmarkStart w:id="284" w:name="_Toc989174"/>
      <w:r>
        <w:rPr>
          <w:rFonts w:ascii="宋体" w:eastAsia="宋体" w:hAnsi="宋体" w:cs="宋体"/>
          <w:b/>
          <w:bCs/>
          <w:szCs w:val="21"/>
        </w:rPr>
        <w:t>（4） 关键管理人员报酬</w:t>
      </w:r>
      <w:bookmarkEnd w:id="284"/>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关键管理人员从公司领取薪酬</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1,625,000.00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1,697,500.00</w:t>
            </w:r>
          </w:p>
        </w:tc>
      </w:tr>
    </w:tbl>
    <w:p w:rsidR="00F068AD" w:rsidRDefault="00CB63CD">
      <w:pPr>
        <w:keepNext/>
        <w:keepLines/>
        <w:spacing w:before="300" w:after="300" w:line="280" w:lineRule="exact"/>
        <w:outlineLvl w:val="3"/>
        <w:rPr>
          <w:rFonts w:ascii="宋体" w:eastAsia="宋体" w:hAnsi="宋体" w:cs="宋体"/>
          <w:b/>
          <w:bCs/>
          <w:szCs w:val="21"/>
        </w:rPr>
      </w:pPr>
      <w:bookmarkStart w:id="285" w:name="_Toc989175"/>
      <w:r>
        <w:rPr>
          <w:rFonts w:ascii="宋体" w:eastAsia="宋体" w:hAnsi="宋体" w:cs="宋体"/>
          <w:b/>
          <w:bCs/>
          <w:szCs w:val="21"/>
        </w:rPr>
        <w:t>（5） 其他关联交易</w:t>
      </w:r>
      <w:bookmarkEnd w:id="285"/>
    </w:p>
    <w:p w:rsidR="00CB63CD" w:rsidRDefault="00CB63CD">
      <w:pPr>
        <w:spacing w:before="100" w:beforeAutospacing="1" w:after="100" w:afterAutospacing="1"/>
        <w:ind w:firstLine="360"/>
        <w:divId w:val="2119792586"/>
      </w:pPr>
      <w:r>
        <w:rPr>
          <w:rFonts w:hint="eastAsia"/>
          <w:sz w:val="18"/>
          <w:szCs w:val="18"/>
        </w:rPr>
        <w:t>关联方存款：</w:t>
      </w:r>
    </w:p>
    <w:tbl>
      <w:tblPr>
        <w:tblW w:w="5021" w:type="pct"/>
        <w:tblCellMar>
          <w:left w:w="0" w:type="dxa"/>
          <w:right w:w="0" w:type="dxa"/>
        </w:tblCellMar>
        <w:tblLook w:val="04A0" w:firstRow="1" w:lastRow="0" w:firstColumn="1" w:lastColumn="0" w:noHBand="0" w:noVBand="1"/>
      </w:tblPr>
      <w:tblGrid>
        <w:gridCol w:w="1283"/>
        <w:gridCol w:w="1768"/>
        <w:gridCol w:w="1605"/>
        <w:gridCol w:w="1765"/>
        <w:gridCol w:w="1823"/>
        <w:gridCol w:w="1494"/>
      </w:tblGrid>
      <w:tr w:rsidR="00CB63CD">
        <w:trPr>
          <w:divId w:val="2119792586"/>
          <w:trHeight w:val="340"/>
        </w:trPr>
        <w:tc>
          <w:tcPr>
            <w:tcW w:w="659"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lastRenderedPageBreak/>
              <w:t>项目名称</w:t>
            </w:r>
          </w:p>
        </w:tc>
        <w:tc>
          <w:tcPr>
            <w:tcW w:w="908" w:type="pct"/>
            <w:tcBorders>
              <w:top w:val="single" w:sz="8" w:space="0" w:color="auto"/>
              <w:left w:val="nil"/>
              <w:bottom w:val="single" w:sz="8" w:space="0" w:color="auto"/>
              <w:right w:val="single" w:sz="8" w:space="0" w:color="auto"/>
            </w:tcBorders>
            <w:tcMar>
              <w:top w:w="0" w:type="dxa"/>
              <w:left w:w="30" w:type="dxa"/>
              <w:bottom w:w="0" w:type="dxa"/>
              <w:right w:w="30"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关联方</w:t>
            </w:r>
          </w:p>
        </w:tc>
        <w:tc>
          <w:tcPr>
            <w:tcW w:w="824" w:type="pct"/>
            <w:tcBorders>
              <w:top w:val="single" w:sz="8" w:space="0" w:color="auto"/>
              <w:left w:val="nil"/>
              <w:bottom w:val="single" w:sz="8" w:space="0" w:color="auto"/>
              <w:right w:val="single" w:sz="8" w:space="0" w:color="auto"/>
            </w:tcBorders>
            <w:tcMar>
              <w:top w:w="0" w:type="dxa"/>
              <w:left w:w="30" w:type="dxa"/>
              <w:bottom w:w="0" w:type="dxa"/>
              <w:right w:w="30"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期初余额</w:t>
            </w:r>
          </w:p>
        </w:tc>
        <w:tc>
          <w:tcPr>
            <w:tcW w:w="906" w:type="pct"/>
            <w:tcBorders>
              <w:top w:val="single" w:sz="8" w:space="0" w:color="auto"/>
              <w:left w:val="nil"/>
              <w:bottom w:val="single" w:sz="8" w:space="0" w:color="auto"/>
              <w:right w:val="single" w:sz="8" w:space="0" w:color="auto"/>
            </w:tcBorders>
            <w:tcMar>
              <w:top w:w="0" w:type="dxa"/>
              <w:left w:w="30" w:type="dxa"/>
              <w:bottom w:w="0" w:type="dxa"/>
              <w:right w:w="30"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本期借方</w:t>
            </w:r>
          </w:p>
        </w:tc>
        <w:tc>
          <w:tcPr>
            <w:tcW w:w="936" w:type="pct"/>
            <w:tcBorders>
              <w:top w:val="single" w:sz="8" w:space="0" w:color="auto"/>
              <w:left w:val="nil"/>
              <w:bottom w:val="single" w:sz="8" w:space="0" w:color="auto"/>
              <w:right w:val="single" w:sz="8" w:space="0" w:color="auto"/>
            </w:tcBorders>
            <w:tcMar>
              <w:top w:w="0" w:type="dxa"/>
              <w:left w:w="30" w:type="dxa"/>
              <w:bottom w:w="0" w:type="dxa"/>
              <w:right w:w="30"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本期贷方</w:t>
            </w:r>
          </w:p>
        </w:tc>
        <w:tc>
          <w:tcPr>
            <w:tcW w:w="767" w:type="pct"/>
            <w:tcBorders>
              <w:top w:val="single" w:sz="8" w:space="0" w:color="auto"/>
              <w:left w:val="nil"/>
              <w:bottom w:val="single" w:sz="8" w:space="0" w:color="auto"/>
              <w:right w:val="single" w:sz="8" w:space="0" w:color="auto"/>
            </w:tcBorders>
            <w:tcMar>
              <w:top w:w="0" w:type="dxa"/>
              <w:left w:w="30" w:type="dxa"/>
              <w:bottom w:w="0" w:type="dxa"/>
              <w:right w:w="30"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期末余额</w:t>
            </w:r>
          </w:p>
        </w:tc>
      </w:tr>
      <w:tr w:rsidR="00CB63CD">
        <w:trPr>
          <w:divId w:val="2119792586"/>
          <w:trHeight w:val="641"/>
        </w:trPr>
        <w:tc>
          <w:tcPr>
            <w:tcW w:w="659"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货币资金</w:t>
            </w:r>
          </w:p>
        </w:tc>
        <w:tc>
          <w:tcPr>
            <w:tcW w:w="908"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江苏华西集团财务有限公司</w:t>
            </w:r>
          </w:p>
        </w:tc>
        <w:tc>
          <w:tcPr>
            <w:tcW w:w="824"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0.00</w:t>
            </w:r>
          </w:p>
        </w:tc>
        <w:tc>
          <w:tcPr>
            <w:tcW w:w="906"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sz w:val="18"/>
                <w:szCs w:val="18"/>
              </w:rPr>
              <w:t>1,934,771,962.83</w:t>
            </w:r>
          </w:p>
        </w:tc>
        <w:tc>
          <w:tcPr>
            <w:tcW w:w="936"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sz w:val="18"/>
                <w:szCs w:val="18"/>
              </w:rPr>
              <w:t>1,934,771,962.83</w:t>
            </w:r>
          </w:p>
        </w:tc>
        <w:tc>
          <w:tcPr>
            <w:tcW w:w="767"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CB63CD" w:rsidRDefault="00CB63CD">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0.00</w:t>
            </w:r>
          </w:p>
        </w:tc>
      </w:tr>
    </w:tbl>
    <w:p w:rsidR="00CB63CD" w:rsidRPr="00920C45" w:rsidRDefault="00CB63CD">
      <w:pPr>
        <w:spacing w:before="100" w:beforeAutospacing="1" w:after="100" w:afterAutospacing="1"/>
        <w:ind w:firstLine="420"/>
        <w:divId w:val="2119792586"/>
        <w:rPr>
          <w:rFonts w:asciiTheme="minorEastAsia" w:hAnsiTheme="minorEastAsia"/>
        </w:rPr>
      </w:pPr>
      <w:r w:rsidRPr="00920C45">
        <w:rPr>
          <w:rFonts w:asciiTheme="minorEastAsia" w:hAnsiTheme="minorEastAsia"/>
        </w:rPr>
        <w:t> </w:t>
      </w:r>
      <w:r w:rsidRPr="00920C45">
        <w:rPr>
          <w:rFonts w:asciiTheme="minorEastAsia" w:hAnsiTheme="minorEastAsia" w:hint="eastAsia"/>
          <w:sz w:val="18"/>
          <w:szCs w:val="18"/>
        </w:rPr>
        <w:t>2022年上半年度，公司收取在江苏华西集团财务有限公司的存款利息799,353.43元。</w:t>
      </w:r>
    </w:p>
    <w:p w:rsidR="00F068AD" w:rsidRDefault="00CB63CD">
      <w:pPr>
        <w:pStyle w:val="3"/>
        <w:spacing w:line="280" w:lineRule="exact"/>
        <w:jc w:val="left"/>
        <w:rPr>
          <w:rFonts w:ascii="宋体" w:hAnsi="宋体" w:cs="宋体"/>
          <w:b/>
          <w:bCs/>
        </w:rPr>
      </w:pPr>
      <w:bookmarkStart w:id="286" w:name="_Toc989176"/>
      <w:r>
        <w:rPr>
          <w:rFonts w:ascii="宋体" w:hAnsi="宋体" w:cs="宋体"/>
          <w:b/>
          <w:bCs/>
        </w:rPr>
        <w:t>6、关联方应收应付款项</w:t>
      </w:r>
      <w:bookmarkEnd w:id="286"/>
    </w:p>
    <w:p w:rsidR="00F068AD" w:rsidRDefault="00CB63CD">
      <w:pPr>
        <w:keepNext/>
        <w:keepLines/>
        <w:spacing w:before="300" w:after="300" w:line="280" w:lineRule="exact"/>
        <w:outlineLvl w:val="3"/>
        <w:rPr>
          <w:rFonts w:ascii="宋体" w:eastAsia="宋体" w:hAnsi="宋体" w:cs="宋体"/>
          <w:b/>
          <w:bCs/>
          <w:szCs w:val="21"/>
        </w:rPr>
      </w:pPr>
      <w:bookmarkStart w:id="287" w:name="_Toc989177"/>
      <w:r>
        <w:rPr>
          <w:rFonts w:ascii="宋体" w:eastAsia="宋体" w:hAnsi="宋体" w:cs="宋体"/>
          <w:b/>
          <w:bCs/>
          <w:szCs w:val="21"/>
        </w:rPr>
        <w:t>（1） 应付项目</w:t>
      </w:r>
      <w:bookmarkEnd w:id="287"/>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其他应付款</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35,560.15</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其他应付款</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江阴市华士镇华西新市村股份经济合作社</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210,300.00</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bl>
    <w:p w:rsidR="00F068AD" w:rsidRDefault="00CB63CD">
      <w:pPr>
        <w:pStyle w:val="2"/>
        <w:spacing w:before="300" w:after="300" w:line="320" w:lineRule="exact"/>
        <w:rPr>
          <w:rFonts w:ascii="宋体" w:eastAsia="宋体" w:hAnsi="宋体" w:cs="宋体"/>
          <w:b/>
          <w:bCs/>
          <w:sz w:val="24"/>
          <w:szCs w:val="24"/>
        </w:rPr>
      </w:pPr>
      <w:bookmarkStart w:id="288" w:name="_Toc989178"/>
      <w:r>
        <w:rPr>
          <w:rFonts w:ascii="宋体" w:eastAsia="宋体" w:hAnsi="宋体" w:cs="宋体"/>
          <w:b/>
          <w:bCs/>
          <w:sz w:val="24"/>
          <w:szCs w:val="24"/>
        </w:rPr>
        <w:t>十三、股份支付</w:t>
      </w:r>
      <w:bookmarkEnd w:id="288"/>
    </w:p>
    <w:p w:rsidR="00F068AD" w:rsidRDefault="00CB63CD">
      <w:pPr>
        <w:pStyle w:val="3"/>
        <w:spacing w:line="280" w:lineRule="exact"/>
        <w:jc w:val="left"/>
        <w:rPr>
          <w:rFonts w:ascii="宋体" w:hAnsi="宋体" w:cs="宋体"/>
          <w:b/>
          <w:bCs/>
        </w:rPr>
      </w:pPr>
      <w:bookmarkStart w:id="289" w:name="_Toc989179"/>
      <w:r>
        <w:rPr>
          <w:rFonts w:ascii="宋体" w:hAnsi="宋体" w:cs="宋体"/>
          <w:b/>
          <w:bCs/>
        </w:rPr>
        <w:t>1、股份支付总体情况</w:t>
      </w:r>
      <w:bookmarkEnd w:id="289"/>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pStyle w:val="3"/>
        <w:spacing w:line="280" w:lineRule="exact"/>
        <w:jc w:val="left"/>
        <w:rPr>
          <w:rFonts w:ascii="宋体" w:hAnsi="宋体" w:cs="宋体"/>
          <w:b/>
          <w:bCs/>
        </w:rPr>
      </w:pPr>
      <w:bookmarkStart w:id="290" w:name="_Toc989180"/>
      <w:r>
        <w:rPr>
          <w:rFonts w:ascii="宋体" w:hAnsi="宋体" w:cs="宋体"/>
          <w:b/>
          <w:bCs/>
        </w:rPr>
        <w:t>2、以权益结算的股份支付情况</w:t>
      </w:r>
      <w:bookmarkEnd w:id="290"/>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pStyle w:val="3"/>
        <w:spacing w:line="280" w:lineRule="exact"/>
        <w:jc w:val="left"/>
        <w:rPr>
          <w:rFonts w:ascii="宋体" w:hAnsi="宋体" w:cs="宋体"/>
          <w:b/>
          <w:bCs/>
        </w:rPr>
      </w:pPr>
      <w:bookmarkStart w:id="291" w:name="_Toc989181"/>
      <w:r>
        <w:rPr>
          <w:rFonts w:ascii="宋体" w:hAnsi="宋体" w:cs="宋体"/>
          <w:b/>
          <w:bCs/>
        </w:rPr>
        <w:t>3、以现金结算的股份支付情况</w:t>
      </w:r>
      <w:bookmarkEnd w:id="291"/>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pStyle w:val="2"/>
        <w:spacing w:before="300" w:after="300" w:line="320" w:lineRule="exact"/>
        <w:rPr>
          <w:rFonts w:ascii="宋体" w:eastAsia="宋体" w:hAnsi="宋体" w:cs="宋体"/>
          <w:b/>
          <w:bCs/>
          <w:sz w:val="24"/>
          <w:szCs w:val="24"/>
        </w:rPr>
      </w:pPr>
      <w:bookmarkStart w:id="292" w:name="_Toc989182"/>
      <w:r>
        <w:rPr>
          <w:rFonts w:ascii="宋体" w:eastAsia="宋体" w:hAnsi="宋体" w:cs="宋体"/>
          <w:b/>
          <w:bCs/>
          <w:sz w:val="24"/>
          <w:szCs w:val="24"/>
        </w:rPr>
        <w:t>十四、承诺及或有事项</w:t>
      </w:r>
      <w:bookmarkEnd w:id="292"/>
    </w:p>
    <w:p w:rsidR="00F068AD" w:rsidRDefault="00CB63CD">
      <w:pPr>
        <w:pStyle w:val="3"/>
        <w:spacing w:line="280" w:lineRule="exact"/>
        <w:jc w:val="left"/>
        <w:rPr>
          <w:rFonts w:ascii="宋体" w:hAnsi="宋体" w:cs="宋体"/>
          <w:b/>
          <w:bCs/>
        </w:rPr>
      </w:pPr>
      <w:bookmarkStart w:id="293" w:name="_Toc989183"/>
      <w:r>
        <w:rPr>
          <w:rFonts w:ascii="宋体" w:hAnsi="宋体" w:cs="宋体"/>
          <w:b/>
          <w:bCs/>
        </w:rPr>
        <w:t>1、重要承诺事项</w:t>
      </w:r>
      <w:bookmarkEnd w:id="293"/>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资产负债表日存在的重要承诺</w:t>
      </w:r>
    </w:p>
    <w:p w:rsidR="00CB63CD" w:rsidRPr="00920C45" w:rsidRDefault="00CB63CD">
      <w:pPr>
        <w:spacing w:before="100" w:beforeAutospacing="1" w:after="100" w:afterAutospacing="1" w:line="360" w:lineRule="auto"/>
        <w:ind w:firstLine="360"/>
        <w:divId w:val="722868028"/>
        <w:rPr>
          <w:rFonts w:asciiTheme="minorEastAsia" w:hAnsiTheme="minorEastAsia"/>
        </w:rPr>
      </w:pPr>
      <w:r w:rsidRPr="00920C45">
        <w:rPr>
          <w:rFonts w:asciiTheme="minorEastAsia" w:hAnsiTheme="minorEastAsia" w:hint="eastAsia"/>
          <w:sz w:val="18"/>
          <w:szCs w:val="18"/>
        </w:rPr>
        <w:t>截止2022年6月30日，公司无需要披露的重大承诺事项。</w:t>
      </w:r>
    </w:p>
    <w:p w:rsidR="00F068AD" w:rsidRDefault="00CB63CD">
      <w:pPr>
        <w:pStyle w:val="3"/>
        <w:spacing w:line="280" w:lineRule="exact"/>
        <w:jc w:val="left"/>
        <w:rPr>
          <w:rFonts w:ascii="宋体" w:hAnsi="宋体" w:cs="宋体"/>
          <w:b/>
          <w:bCs/>
        </w:rPr>
      </w:pPr>
      <w:bookmarkStart w:id="294" w:name="_Toc989184"/>
      <w:r>
        <w:rPr>
          <w:rFonts w:ascii="宋体" w:hAnsi="宋体" w:cs="宋体"/>
          <w:b/>
          <w:bCs/>
        </w:rPr>
        <w:t>2、或有事项</w:t>
      </w:r>
      <w:bookmarkEnd w:id="294"/>
    </w:p>
    <w:p w:rsidR="00F068AD" w:rsidRDefault="00CB63CD">
      <w:pPr>
        <w:keepNext/>
        <w:keepLines/>
        <w:spacing w:before="300" w:after="300" w:line="280" w:lineRule="exact"/>
        <w:outlineLvl w:val="3"/>
        <w:rPr>
          <w:rFonts w:ascii="宋体" w:eastAsia="宋体" w:hAnsi="宋体" w:cs="宋体"/>
          <w:b/>
          <w:bCs/>
          <w:szCs w:val="21"/>
        </w:rPr>
      </w:pPr>
      <w:bookmarkStart w:id="295" w:name="_Toc989185"/>
      <w:r>
        <w:rPr>
          <w:rFonts w:ascii="宋体" w:eastAsia="宋体" w:hAnsi="宋体" w:cs="宋体"/>
          <w:b/>
          <w:bCs/>
          <w:szCs w:val="21"/>
        </w:rPr>
        <w:t>（1） 资产负债表日存在的重要或有事项</w:t>
      </w:r>
      <w:bookmarkEnd w:id="295"/>
    </w:p>
    <w:p w:rsidR="00CB63CD" w:rsidRPr="004E7CC3" w:rsidRDefault="00CB63CD">
      <w:pPr>
        <w:spacing w:before="100" w:beforeAutospacing="1" w:after="100" w:afterAutospacing="1" w:line="360" w:lineRule="auto"/>
        <w:ind w:firstLine="360"/>
        <w:divId w:val="1960600950"/>
        <w:rPr>
          <w:rFonts w:asciiTheme="minorEastAsia" w:hAnsiTheme="minorEastAsia"/>
        </w:rPr>
      </w:pPr>
      <w:r w:rsidRPr="004E7CC3">
        <w:rPr>
          <w:rFonts w:asciiTheme="minorEastAsia" w:hAnsiTheme="minorEastAsia" w:hint="eastAsia"/>
          <w:sz w:val="18"/>
          <w:szCs w:val="18"/>
        </w:rPr>
        <w:t>（1）为子公司提供担保：</w:t>
      </w:r>
    </w:p>
    <w:p w:rsidR="00CB63CD" w:rsidRDefault="00CB63CD">
      <w:pPr>
        <w:spacing w:before="100" w:beforeAutospacing="1" w:after="100" w:afterAutospacing="1" w:line="360" w:lineRule="auto"/>
        <w:ind w:left="1" w:firstLine="360"/>
        <w:divId w:val="1960600950"/>
      </w:pPr>
      <w:r>
        <w:rPr>
          <w:rFonts w:hint="eastAsia"/>
          <w:sz w:val="18"/>
          <w:szCs w:val="18"/>
        </w:rPr>
        <w:t>根据公司与郑州商品交易所、江阴华西化工码头有限公司签署《郑州商品交易所甲醇指定交割仓库担保合同》，公司为控股子公司江阴华西化工码头有限公司成为郑州商品交易所甲醇指定交割仓库期间而产生的债务提供保证，自愿对江</w:t>
      </w:r>
      <w:r>
        <w:rPr>
          <w:rFonts w:hint="eastAsia"/>
          <w:sz w:val="18"/>
          <w:szCs w:val="18"/>
        </w:rPr>
        <w:lastRenderedPageBreak/>
        <w:t>阴华西化工码头有限公司因期货交割业务而产生的一切债务向郑州商品交易所承担连带保证责任。保证期限自郑州商品交易所取得对江阴华西化工码头有限公司的追偿权之日起半年内。江阴华西化工码头有限公司外方股东澄华国际有限公司按其持有的江阴华西化工码头有限公司股权比例为公司提供了相应反担保。截止</w:t>
      </w:r>
      <w:r>
        <w:rPr>
          <w:rFonts w:hint="eastAsia"/>
          <w:sz w:val="18"/>
          <w:szCs w:val="18"/>
        </w:rPr>
        <w:t>2022</w:t>
      </w:r>
      <w:r>
        <w:rPr>
          <w:rFonts w:hint="eastAsia"/>
          <w:sz w:val="18"/>
          <w:szCs w:val="18"/>
        </w:rPr>
        <w:t>年</w:t>
      </w:r>
      <w:r>
        <w:rPr>
          <w:rFonts w:hint="eastAsia"/>
          <w:sz w:val="18"/>
          <w:szCs w:val="18"/>
        </w:rPr>
        <w:t>6</w:t>
      </w:r>
      <w:r>
        <w:rPr>
          <w:rFonts w:hint="eastAsia"/>
          <w:sz w:val="18"/>
          <w:szCs w:val="18"/>
        </w:rPr>
        <w:t>月</w:t>
      </w:r>
      <w:r>
        <w:rPr>
          <w:rFonts w:hint="eastAsia"/>
          <w:sz w:val="18"/>
          <w:szCs w:val="18"/>
        </w:rPr>
        <w:t>30</w:t>
      </w:r>
      <w:r>
        <w:rPr>
          <w:rFonts w:hint="eastAsia"/>
          <w:sz w:val="18"/>
          <w:szCs w:val="18"/>
        </w:rPr>
        <w:t>日</w:t>
      </w:r>
      <w:r>
        <w:rPr>
          <w:rFonts w:hint="eastAsia"/>
          <w:sz w:val="18"/>
          <w:szCs w:val="18"/>
        </w:rPr>
        <w:t>,</w:t>
      </w:r>
      <w:r>
        <w:rPr>
          <w:rFonts w:hint="eastAsia"/>
          <w:sz w:val="18"/>
          <w:szCs w:val="18"/>
        </w:rPr>
        <w:t>江阴华西化工码头有限公司没有因甲醇交割业务产生任何债务，公司实际担保金额为零元。</w:t>
      </w:r>
    </w:p>
    <w:p w:rsidR="00CB63CD" w:rsidRPr="004E7CC3" w:rsidRDefault="00CB63CD">
      <w:pPr>
        <w:spacing w:before="100" w:beforeAutospacing="1" w:after="100" w:afterAutospacing="1" w:line="360" w:lineRule="auto"/>
        <w:ind w:left="1" w:firstLine="360"/>
        <w:divId w:val="1960600950"/>
        <w:rPr>
          <w:rFonts w:asciiTheme="minorEastAsia" w:hAnsiTheme="minorEastAsia"/>
        </w:rPr>
      </w:pPr>
      <w:r w:rsidRPr="004E7CC3">
        <w:rPr>
          <w:rFonts w:asciiTheme="minorEastAsia" w:hAnsiTheme="minorEastAsia" w:hint="eastAsia"/>
          <w:sz w:val="18"/>
          <w:szCs w:val="18"/>
        </w:rPr>
        <w:t>（2）公司为其他单位提供担保情况见附注十二、5之（3）所述。</w:t>
      </w:r>
    </w:p>
    <w:p w:rsidR="00F068AD" w:rsidRDefault="00CB63CD">
      <w:pPr>
        <w:keepNext/>
        <w:keepLines/>
        <w:spacing w:before="300" w:after="300" w:line="280" w:lineRule="exact"/>
        <w:outlineLvl w:val="3"/>
        <w:rPr>
          <w:rFonts w:ascii="宋体" w:eastAsia="宋体" w:hAnsi="宋体" w:cs="宋体"/>
          <w:b/>
          <w:bCs/>
          <w:szCs w:val="21"/>
        </w:rPr>
      </w:pPr>
      <w:bookmarkStart w:id="296" w:name="_Toc989186"/>
      <w:r>
        <w:rPr>
          <w:rFonts w:ascii="宋体" w:eastAsia="宋体" w:hAnsi="宋体" w:cs="宋体"/>
          <w:b/>
          <w:bCs/>
          <w:szCs w:val="21"/>
        </w:rPr>
        <w:t>（2） 公司没有需要披露的重要或有事项，也应予以说明</w:t>
      </w:r>
      <w:bookmarkEnd w:id="296"/>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公司不存在需要披露的重要或有事项。</w:t>
      </w:r>
    </w:p>
    <w:p w:rsidR="00F068AD" w:rsidRDefault="00CB63CD">
      <w:pPr>
        <w:pStyle w:val="2"/>
        <w:spacing w:before="300" w:after="300" w:line="320" w:lineRule="exact"/>
        <w:rPr>
          <w:rFonts w:ascii="宋体" w:eastAsia="宋体" w:hAnsi="宋体" w:cs="宋体"/>
          <w:b/>
          <w:bCs/>
          <w:sz w:val="24"/>
          <w:szCs w:val="24"/>
        </w:rPr>
      </w:pPr>
      <w:bookmarkStart w:id="297" w:name="_Toc989187"/>
      <w:r>
        <w:rPr>
          <w:rFonts w:ascii="宋体" w:eastAsia="宋体" w:hAnsi="宋体" w:cs="宋体"/>
          <w:b/>
          <w:bCs/>
          <w:sz w:val="24"/>
          <w:szCs w:val="24"/>
        </w:rPr>
        <w:t>十五、资产负债表日后事项</w:t>
      </w:r>
      <w:bookmarkEnd w:id="297"/>
    </w:p>
    <w:p w:rsidR="00F068AD" w:rsidRDefault="00CB63CD">
      <w:pPr>
        <w:pStyle w:val="3"/>
        <w:spacing w:line="280" w:lineRule="exact"/>
        <w:jc w:val="left"/>
        <w:rPr>
          <w:rFonts w:ascii="宋体" w:hAnsi="宋体" w:cs="宋体"/>
          <w:b/>
          <w:bCs/>
        </w:rPr>
      </w:pPr>
      <w:bookmarkStart w:id="298" w:name="_Toc989188"/>
      <w:r>
        <w:rPr>
          <w:rFonts w:ascii="宋体" w:hAnsi="宋体" w:cs="宋体"/>
          <w:b/>
          <w:bCs/>
        </w:rPr>
        <w:t>1、其他资产负债表日后事项说明</w:t>
      </w:r>
      <w:bookmarkEnd w:id="298"/>
    </w:p>
    <w:p w:rsidR="00CB63CD" w:rsidRDefault="00CB63CD">
      <w:pPr>
        <w:spacing w:before="100" w:beforeAutospacing="1" w:after="100" w:afterAutospacing="1" w:line="360" w:lineRule="auto"/>
        <w:ind w:left="1" w:firstLine="380"/>
        <w:divId w:val="1974362190"/>
        <w:rPr>
          <w:rFonts w:asciiTheme="minorEastAsia" w:hAnsiTheme="minorEastAsia"/>
          <w:spacing w:val="5"/>
          <w:sz w:val="18"/>
          <w:szCs w:val="18"/>
        </w:rPr>
      </w:pPr>
      <w:r w:rsidRPr="00920C45">
        <w:rPr>
          <w:rFonts w:asciiTheme="minorEastAsia" w:hAnsiTheme="minorEastAsia" w:hint="eastAsia"/>
          <w:spacing w:val="5"/>
          <w:sz w:val="18"/>
          <w:szCs w:val="18"/>
        </w:rPr>
        <w:t>公司2021年度利润分配方案已获2022年6月24日召开的2021年度股东大会审议通过，具体分配方案为：以未来实施利润分配方案时股权登记日的总股本为分配基数，向全体股东每10股派发现金红利0.50元（含税），本次分配公司不送红股也不进行资本公积金转增股本。本次权益分派股权登记日为：2022年7月12日，除权除息日为：2022年7月13日，本次现金股利44,300,644.35元已派发完毕。</w:t>
      </w:r>
    </w:p>
    <w:p w:rsidR="006E3165" w:rsidRPr="006E3165" w:rsidRDefault="006E3165">
      <w:pPr>
        <w:spacing w:before="100" w:beforeAutospacing="1" w:after="100" w:afterAutospacing="1" w:line="360" w:lineRule="auto"/>
        <w:ind w:left="1" w:firstLine="380"/>
        <w:divId w:val="1974362190"/>
        <w:rPr>
          <w:rFonts w:ascii="宋体" w:eastAsia="宋体" w:hAnsi="宋体"/>
        </w:rPr>
      </w:pPr>
      <w:r w:rsidRPr="006E3165">
        <w:rPr>
          <w:rFonts w:ascii="宋体" w:eastAsia="宋体" w:hAnsi="宋体" w:hint="eastAsia"/>
          <w:sz w:val="18"/>
          <w:szCs w:val="18"/>
        </w:rPr>
        <w:t>报告期内，公司第八届董事会第十次会议、2021年度股东大会审议通过了《关于收购股权暨关联交易的议案》，公司拟以自有资金收购澄华国际有限公司持有的华西码头25%股权，交易总金额为25,000万元。本次交易完成后，公司将持有华西码头100%股权。截止</w:t>
      </w:r>
      <w:r>
        <w:rPr>
          <w:rFonts w:ascii="宋体" w:eastAsia="宋体" w:hAnsi="宋体" w:hint="eastAsia"/>
          <w:sz w:val="18"/>
          <w:szCs w:val="18"/>
        </w:rPr>
        <w:t>目前</w:t>
      </w:r>
      <w:r w:rsidRPr="006E3165">
        <w:rPr>
          <w:rFonts w:ascii="宋体" w:eastAsia="宋体" w:hAnsi="宋体" w:hint="eastAsia"/>
          <w:sz w:val="18"/>
          <w:szCs w:val="18"/>
        </w:rPr>
        <w:t>，该项股权收购尚未完成。</w:t>
      </w:r>
    </w:p>
    <w:p w:rsidR="00F068AD" w:rsidRDefault="00CB63CD">
      <w:pPr>
        <w:pStyle w:val="2"/>
        <w:spacing w:before="300" w:after="300" w:line="320" w:lineRule="exact"/>
        <w:rPr>
          <w:rFonts w:ascii="宋体" w:eastAsia="宋体" w:hAnsi="宋体" w:cs="宋体"/>
          <w:b/>
          <w:bCs/>
          <w:sz w:val="24"/>
          <w:szCs w:val="24"/>
        </w:rPr>
      </w:pPr>
      <w:bookmarkStart w:id="299" w:name="_Toc989189"/>
      <w:r>
        <w:rPr>
          <w:rFonts w:ascii="宋体" w:eastAsia="宋体" w:hAnsi="宋体" w:cs="宋体"/>
          <w:b/>
          <w:bCs/>
          <w:sz w:val="24"/>
          <w:szCs w:val="24"/>
        </w:rPr>
        <w:t>十六、其他重要事项</w:t>
      </w:r>
      <w:bookmarkEnd w:id="299"/>
    </w:p>
    <w:p w:rsidR="00F068AD" w:rsidRDefault="00CB63CD">
      <w:pPr>
        <w:pStyle w:val="3"/>
        <w:spacing w:line="280" w:lineRule="exact"/>
        <w:jc w:val="left"/>
        <w:rPr>
          <w:rFonts w:ascii="宋体" w:hAnsi="宋体" w:cs="宋体"/>
          <w:b/>
          <w:bCs/>
        </w:rPr>
      </w:pPr>
      <w:bookmarkStart w:id="300" w:name="_Toc989190"/>
      <w:r>
        <w:rPr>
          <w:rFonts w:ascii="宋体" w:hAnsi="宋体" w:cs="宋体"/>
          <w:b/>
          <w:bCs/>
        </w:rPr>
        <w:t>1、其他</w:t>
      </w:r>
      <w:bookmarkEnd w:id="300"/>
    </w:p>
    <w:p w:rsidR="00CB63CD" w:rsidRDefault="00CB63CD">
      <w:pPr>
        <w:spacing w:before="100" w:beforeAutospacing="1" w:after="100" w:afterAutospacing="1" w:line="360" w:lineRule="auto"/>
        <w:ind w:left="1" w:firstLine="380"/>
        <w:divId w:val="706099552"/>
      </w:pPr>
      <w:r>
        <w:rPr>
          <w:rFonts w:hint="eastAsia"/>
          <w:spacing w:val="5"/>
          <w:sz w:val="18"/>
          <w:szCs w:val="18"/>
        </w:rPr>
        <w:t>公司无需披露的其他重要事项。</w:t>
      </w:r>
    </w:p>
    <w:p w:rsidR="00F068AD" w:rsidRDefault="00CB63CD">
      <w:pPr>
        <w:pStyle w:val="2"/>
        <w:spacing w:before="300" w:after="300" w:line="320" w:lineRule="exact"/>
        <w:rPr>
          <w:rFonts w:ascii="宋体" w:eastAsia="宋体" w:hAnsi="宋体" w:cs="宋体"/>
          <w:b/>
          <w:bCs/>
          <w:sz w:val="24"/>
          <w:szCs w:val="24"/>
        </w:rPr>
      </w:pPr>
      <w:bookmarkStart w:id="301" w:name="_Toc989191"/>
      <w:r>
        <w:rPr>
          <w:rFonts w:ascii="宋体" w:eastAsia="宋体" w:hAnsi="宋体" w:cs="宋体"/>
          <w:b/>
          <w:bCs/>
          <w:sz w:val="24"/>
          <w:szCs w:val="24"/>
        </w:rPr>
        <w:t>十七、母公司财务报表主要项目注释</w:t>
      </w:r>
      <w:bookmarkEnd w:id="301"/>
    </w:p>
    <w:p w:rsidR="00F068AD" w:rsidRDefault="00CB63CD">
      <w:pPr>
        <w:pStyle w:val="3"/>
        <w:spacing w:line="280" w:lineRule="exact"/>
        <w:jc w:val="left"/>
        <w:rPr>
          <w:rFonts w:ascii="宋体" w:hAnsi="宋体" w:cs="宋体"/>
          <w:b/>
          <w:bCs/>
        </w:rPr>
      </w:pPr>
      <w:bookmarkStart w:id="302" w:name="_Toc989192"/>
      <w:r>
        <w:rPr>
          <w:rFonts w:ascii="宋体" w:hAnsi="宋体" w:cs="宋体"/>
          <w:b/>
          <w:bCs/>
        </w:rPr>
        <w:t>1、应收账款</w:t>
      </w:r>
      <w:bookmarkEnd w:id="302"/>
    </w:p>
    <w:p w:rsidR="00F068AD" w:rsidRDefault="00CB63CD">
      <w:pPr>
        <w:keepNext/>
        <w:keepLines/>
        <w:spacing w:before="300" w:after="300" w:line="280" w:lineRule="exact"/>
        <w:outlineLvl w:val="3"/>
        <w:rPr>
          <w:rFonts w:ascii="宋体" w:eastAsia="宋体" w:hAnsi="宋体" w:cs="宋体"/>
          <w:b/>
          <w:bCs/>
          <w:szCs w:val="21"/>
        </w:rPr>
      </w:pPr>
      <w:bookmarkStart w:id="303" w:name="_Toc989193"/>
      <w:r>
        <w:rPr>
          <w:rFonts w:ascii="宋体" w:eastAsia="宋体" w:hAnsi="宋体" w:cs="宋体"/>
          <w:b/>
          <w:bCs/>
          <w:szCs w:val="21"/>
        </w:rPr>
        <w:t>（1） 应收账款分类披露</w:t>
      </w:r>
      <w:bookmarkEnd w:id="303"/>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F068AD">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068AD">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w:t>
            </w:r>
            <w:r>
              <w:rPr>
                <w:rFonts w:ascii="宋体" w:eastAsia="宋体" w:hAnsi="宋体" w:cs="宋体"/>
                <w:sz w:val="18"/>
                <w:szCs w:val="18"/>
              </w:rPr>
              <w:lastRenderedPageBreak/>
              <w:t>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w:t>
            </w:r>
            <w:r>
              <w:rPr>
                <w:rFonts w:ascii="宋体" w:eastAsia="宋体" w:hAnsi="宋体" w:cs="宋体"/>
                <w:sz w:val="18"/>
                <w:szCs w:val="18"/>
              </w:rPr>
              <w:lastRenderedPageBreak/>
              <w:t>值</w:t>
            </w:r>
          </w:p>
        </w:tc>
      </w:tr>
      <w:tr w:rsidR="00F068AD">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按单项计提坏账准备的应收账款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按组合计提坏账准备的应收账款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168,389,022.45</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13,900,583.00</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8.26%</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154,488,439.45</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105,220,785.52</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10,612,229.43</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10.09%</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94,608,556.09</w:t>
            </w:r>
          </w:p>
        </w:tc>
      </w:tr>
      <w:tr w:rsidR="00F068AD">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账龄组合</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168,389,022.45</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13,900,583.00</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8.26%</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154,488,439.45</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105,220,785.52</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10,612,229.43</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10.09%</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94,608,556.09</w:t>
            </w:r>
          </w:p>
        </w:tc>
      </w:tr>
      <w:tr w:rsidR="00F068AD">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168,389,022.45</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13,900,583.00</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8.26%</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154,488,439.45</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105,220,785.52</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10,612,229.43</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10.09%</w:t>
            </w:r>
          </w:p>
        </w:tc>
        <w:tc>
          <w:tcPr>
            <w:tcW w:w="87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94,608,556.09</w:t>
            </w:r>
          </w:p>
        </w:tc>
      </w:tr>
    </w:tbl>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按组合计提坏账准备：13,900,583.00</w:t>
      </w:r>
    </w:p>
    <w:p w:rsidR="00F068AD" w:rsidRDefault="00CB63C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F068AD">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068AD">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按账龄组合计提坏账准备</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168,389,022.45</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13,900,583.00</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8.26%</w:t>
            </w:r>
          </w:p>
        </w:tc>
      </w:tr>
    </w:tbl>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如是按照预期信用损失一般模型计提应收账款坏账准备，请参照其他应收款的披露方式披露坏账准备的相关信息：</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按账龄披露</w:t>
      </w:r>
    </w:p>
    <w:p w:rsidR="00F068AD" w:rsidRDefault="00CB63C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161,076,098.70</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1年以内</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161,076,098.70</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1,466,189.67</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6,859.90</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5,839,874.18</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3至4年</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283,546.13</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4至5年</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5年以上</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5,556,328.05</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168,389,022.45</w:t>
            </w:r>
          </w:p>
        </w:tc>
      </w:tr>
    </w:tbl>
    <w:p w:rsidR="00F068AD" w:rsidRDefault="00CB63CD">
      <w:pPr>
        <w:keepNext/>
        <w:keepLines/>
        <w:spacing w:before="300" w:after="300" w:line="280" w:lineRule="exact"/>
        <w:outlineLvl w:val="3"/>
        <w:rPr>
          <w:rFonts w:ascii="宋体" w:eastAsia="宋体" w:hAnsi="宋体" w:cs="宋体"/>
          <w:b/>
          <w:bCs/>
          <w:szCs w:val="21"/>
        </w:rPr>
      </w:pPr>
      <w:bookmarkStart w:id="304" w:name="_Toc989194"/>
      <w:r>
        <w:rPr>
          <w:rFonts w:ascii="宋体" w:eastAsia="宋体" w:hAnsi="宋体" w:cs="宋体"/>
          <w:b/>
          <w:bCs/>
          <w:szCs w:val="21"/>
        </w:rPr>
        <w:t>（2） 本期计提、收回或转回的坏账准备情况</w:t>
      </w:r>
      <w:bookmarkEnd w:id="304"/>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本期计提坏账准备情况：</w:t>
      </w:r>
    </w:p>
    <w:p w:rsidR="00F068AD" w:rsidRDefault="00CB63C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F068AD">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068AD">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lastRenderedPageBreak/>
              <w:t>坏账准备</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10,612,229.43</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3,288,353.57</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13,900,583.00</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10,612,229.43</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3,288,353.57</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13,900,583.00</w:t>
            </w:r>
          </w:p>
        </w:tc>
      </w:tr>
    </w:tbl>
    <w:p w:rsidR="00CB63CD" w:rsidRDefault="00CB63CD">
      <w:pPr>
        <w:divId w:val="924806272"/>
        <w:rPr>
          <w:sz w:val="18"/>
          <w:szCs w:val="18"/>
        </w:rPr>
      </w:pPr>
    </w:p>
    <w:p w:rsidR="00F068AD" w:rsidRDefault="00CB63CD">
      <w:pPr>
        <w:keepNext/>
        <w:keepLines/>
        <w:spacing w:before="300" w:after="300" w:line="280" w:lineRule="exact"/>
        <w:outlineLvl w:val="3"/>
        <w:rPr>
          <w:rFonts w:ascii="宋体" w:eastAsia="宋体" w:hAnsi="宋体" w:cs="宋体"/>
          <w:b/>
          <w:bCs/>
          <w:szCs w:val="21"/>
        </w:rPr>
      </w:pPr>
      <w:bookmarkStart w:id="305" w:name="_Toc989195"/>
      <w:r>
        <w:rPr>
          <w:rFonts w:ascii="宋体" w:eastAsia="宋体" w:hAnsi="宋体" w:cs="宋体"/>
          <w:b/>
          <w:bCs/>
          <w:szCs w:val="21"/>
        </w:rPr>
        <w:t>（3） 本期实际核销的应收账款情况</w:t>
      </w:r>
      <w:bookmarkEnd w:id="305"/>
    </w:p>
    <w:p w:rsidR="00CB63CD" w:rsidRDefault="00CB63CD">
      <w:pPr>
        <w:pStyle w:val="a3"/>
        <w:divId w:val="8339271"/>
        <w:rPr>
          <w:sz w:val="18"/>
          <w:szCs w:val="18"/>
        </w:rPr>
      </w:pPr>
      <w:r>
        <w:rPr>
          <w:rFonts w:hint="eastAsia"/>
          <w:sz w:val="18"/>
          <w:szCs w:val="18"/>
        </w:rPr>
        <w:t>本报告期无实际核销的应收账款。</w:t>
      </w:r>
    </w:p>
    <w:p w:rsidR="00F068AD" w:rsidRDefault="00CB63CD">
      <w:pPr>
        <w:keepNext/>
        <w:keepLines/>
        <w:spacing w:before="300" w:after="300" w:line="280" w:lineRule="exact"/>
        <w:outlineLvl w:val="3"/>
        <w:rPr>
          <w:rFonts w:ascii="宋体" w:eastAsia="宋体" w:hAnsi="宋体" w:cs="宋体"/>
          <w:b/>
          <w:bCs/>
          <w:szCs w:val="21"/>
        </w:rPr>
      </w:pPr>
      <w:bookmarkStart w:id="306" w:name="_Toc989196"/>
      <w:r>
        <w:rPr>
          <w:rFonts w:ascii="宋体" w:eastAsia="宋体" w:hAnsi="宋体" w:cs="宋体"/>
          <w:b/>
          <w:bCs/>
          <w:szCs w:val="21"/>
        </w:rPr>
        <w:t>（4） 按欠款方归集的期末余额前五名的应收账款情况</w:t>
      </w:r>
      <w:bookmarkEnd w:id="306"/>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应收账款期末余额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占应收账款期末余额合计数的比例</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应收单位1</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30,598,679.31</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18.17%</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1,529,933.97</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应收单位2</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18,565,829.06</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11.03%</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928,291.45</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应收单位3</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14,826,566.49</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8.80%</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741,328.32</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应收单位4</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12,742,223.77</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7.57%</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637,111.19</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应收单位5</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11,495,252.36</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6.83%</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574,762.62</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88,228,550.99</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52.40%</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bl>
    <w:p w:rsidR="00F068AD" w:rsidRDefault="00CB63CD">
      <w:pPr>
        <w:keepNext/>
        <w:keepLines/>
        <w:spacing w:before="300" w:after="300" w:line="280" w:lineRule="exact"/>
        <w:outlineLvl w:val="3"/>
        <w:rPr>
          <w:rFonts w:ascii="宋体" w:eastAsia="宋体" w:hAnsi="宋体" w:cs="宋体"/>
          <w:b/>
          <w:bCs/>
          <w:szCs w:val="21"/>
        </w:rPr>
      </w:pPr>
      <w:bookmarkStart w:id="307" w:name="_Toc989197"/>
      <w:r>
        <w:rPr>
          <w:rFonts w:ascii="宋体" w:eastAsia="宋体" w:hAnsi="宋体" w:cs="宋体"/>
          <w:b/>
          <w:bCs/>
          <w:szCs w:val="21"/>
        </w:rPr>
        <w:t>（5） 因金融资产转移而终止确认的应收账款</w:t>
      </w:r>
      <w:bookmarkEnd w:id="307"/>
    </w:p>
    <w:p w:rsidR="00CB63CD" w:rsidRDefault="00CB63CD" w:rsidP="004E7CC3">
      <w:pPr>
        <w:spacing w:before="100" w:beforeAutospacing="1" w:after="100" w:afterAutospacing="1" w:line="360" w:lineRule="auto"/>
        <w:divId w:val="270019391"/>
      </w:pPr>
      <w:r>
        <w:rPr>
          <w:rFonts w:hint="eastAsia"/>
          <w:sz w:val="18"/>
          <w:szCs w:val="18"/>
        </w:rPr>
        <w:t>公司无因金融资产转移而终止确认的应收款项。</w:t>
      </w:r>
    </w:p>
    <w:p w:rsidR="00F068AD" w:rsidRDefault="00CB63CD">
      <w:pPr>
        <w:keepNext/>
        <w:keepLines/>
        <w:spacing w:before="300" w:after="300" w:line="280" w:lineRule="exact"/>
        <w:outlineLvl w:val="3"/>
        <w:rPr>
          <w:rFonts w:ascii="宋体" w:eastAsia="宋体" w:hAnsi="宋体" w:cs="宋体"/>
          <w:b/>
          <w:bCs/>
          <w:szCs w:val="21"/>
        </w:rPr>
      </w:pPr>
      <w:bookmarkStart w:id="308" w:name="_Toc989198"/>
      <w:r>
        <w:rPr>
          <w:rFonts w:ascii="宋体" w:eastAsia="宋体" w:hAnsi="宋体" w:cs="宋体"/>
          <w:b/>
          <w:bCs/>
          <w:szCs w:val="21"/>
        </w:rPr>
        <w:t>（6） 转移应收账款且继续涉入形成的资产、负债金额</w:t>
      </w:r>
      <w:bookmarkEnd w:id="308"/>
    </w:p>
    <w:p w:rsidR="00CB63CD" w:rsidRDefault="00CB63CD" w:rsidP="004E7CC3">
      <w:pPr>
        <w:pStyle w:val="a3"/>
        <w:divId w:val="513962842"/>
        <w:rPr>
          <w:sz w:val="18"/>
          <w:szCs w:val="18"/>
        </w:rPr>
      </w:pPr>
      <w:r>
        <w:rPr>
          <w:rFonts w:hint="eastAsia"/>
          <w:sz w:val="18"/>
          <w:szCs w:val="18"/>
        </w:rPr>
        <w:t>公司无转移应收款项且继续涉入的资产和负债。</w:t>
      </w:r>
    </w:p>
    <w:p w:rsidR="00F068AD" w:rsidRDefault="00CB63CD">
      <w:pPr>
        <w:pStyle w:val="3"/>
        <w:spacing w:line="280" w:lineRule="exact"/>
        <w:jc w:val="left"/>
        <w:rPr>
          <w:rFonts w:ascii="宋体" w:hAnsi="宋体" w:cs="宋体"/>
          <w:b/>
          <w:bCs/>
        </w:rPr>
      </w:pPr>
      <w:bookmarkStart w:id="309" w:name="_Toc989199"/>
      <w:r>
        <w:rPr>
          <w:rFonts w:ascii="宋体" w:hAnsi="宋体" w:cs="宋体"/>
          <w:b/>
          <w:bCs/>
        </w:rPr>
        <w:t>2、其他应收款</w:t>
      </w:r>
      <w:bookmarkEnd w:id="309"/>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40,924,157.62</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29,565,068.00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12,493,995.20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70,489,225.62</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12,493,995.20</w:t>
            </w:r>
          </w:p>
        </w:tc>
      </w:tr>
    </w:tbl>
    <w:p w:rsidR="00F068AD" w:rsidRDefault="00CB63CD">
      <w:pPr>
        <w:keepNext/>
        <w:keepLines/>
        <w:spacing w:before="300" w:after="300" w:line="280" w:lineRule="exact"/>
        <w:outlineLvl w:val="3"/>
        <w:rPr>
          <w:rFonts w:ascii="宋体" w:eastAsia="宋体" w:hAnsi="宋体" w:cs="宋体"/>
          <w:b/>
          <w:bCs/>
          <w:sz w:val="18"/>
          <w:szCs w:val="18"/>
        </w:rPr>
      </w:pPr>
      <w:bookmarkStart w:id="310" w:name="_Toc989200"/>
      <w:r>
        <w:rPr>
          <w:rFonts w:ascii="宋体" w:eastAsia="宋体" w:hAnsi="宋体" w:cs="宋体"/>
          <w:b/>
          <w:bCs/>
          <w:sz w:val="18"/>
          <w:szCs w:val="18"/>
        </w:rPr>
        <w:t>（1） 应收股利</w:t>
      </w:r>
      <w:bookmarkEnd w:id="310"/>
    </w:p>
    <w:p w:rsidR="00F068AD" w:rsidRDefault="00CB63CD">
      <w:pPr>
        <w:keepNext/>
        <w:keepLines/>
        <w:spacing w:before="300" w:after="300" w:line="280" w:lineRule="exact"/>
        <w:outlineLvl w:val="4"/>
        <w:rPr>
          <w:rFonts w:ascii="宋体" w:eastAsia="宋体" w:hAnsi="宋体" w:cs="宋体"/>
          <w:b/>
          <w:bCs/>
          <w:sz w:val="18"/>
          <w:szCs w:val="18"/>
        </w:rPr>
      </w:pPr>
      <w:bookmarkStart w:id="311" w:name="_Toc989201"/>
      <w:r>
        <w:rPr>
          <w:rFonts w:ascii="宋体" w:eastAsia="宋体" w:hAnsi="宋体" w:cs="宋体"/>
          <w:b/>
          <w:bCs/>
          <w:sz w:val="18"/>
          <w:szCs w:val="18"/>
        </w:rPr>
        <w:t>1） 应收股利分类</w:t>
      </w:r>
      <w:bookmarkEnd w:id="311"/>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项目(或被投资单位)</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一村资本有限公司</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40,924,157.62</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40,924,157.62</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bl>
    <w:p w:rsidR="00F068AD" w:rsidRDefault="00CB63CD">
      <w:pPr>
        <w:keepNext/>
        <w:keepLines/>
        <w:spacing w:before="300" w:after="300" w:line="280" w:lineRule="exact"/>
        <w:outlineLvl w:val="3"/>
        <w:rPr>
          <w:rFonts w:ascii="宋体" w:eastAsia="宋体" w:hAnsi="宋体" w:cs="宋体"/>
          <w:b/>
          <w:bCs/>
          <w:sz w:val="18"/>
          <w:szCs w:val="18"/>
        </w:rPr>
      </w:pPr>
      <w:bookmarkStart w:id="312" w:name="_Toc989202"/>
      <w:r>
        <w:rPr>
          <w:rFonts w:ascii="宋体" w:eastAsia="宋体" w:hAnsi="宋体" w:cs="宋体"/>
          <w:b/>
          <w:bCs/>
          <w:sz w:val="18"/>
          <w:szCs w:val="18"/>
        </w:rPr>
        <w:lastRenderedPageBreak/>
        <w:t>（2） 其他应收款</w:t>
      </w:r>
      <w:bookmarkEnd w:id="312"/>
    </w:p>
    <w:p w:rsidR="00F068AD" w:rsidRDefault="00CB63CD">
      <w:pPr>
        <w:keepNext/>
        <w:keepLines/>
        <w:spacing w:before="300" w:after="300" w:line="280" w:lineRule="exact"/>
        <w:outlineLvl w:val="4"/>
        <w:rPr>
          <w:rFonts w:ascii="宋体" w:eastAsia="宋体" w:hAnsi="宋体" w:cs="宋体"/>
          <w:b/>
          <w:bCs/>
          <w:sz w:val="18"/>
          <w:szCs w:val="18"/>
        </w:rPr>
      </w:pPr>
      <w:bookmarkStart w:id="313" w:name="_Toc989203"/>
      <w:r>
        <w:rPr>
          <w:rFonts w:ascii="宋体" w:eastAsia="宋体" w:hAnsi="宋体" w:cs="宋体"/>
          <w:b/>
          <w:bCs/>
          <w:sz w:val="18"/>
          <w:szCs w:val="18"/>
        </w:rPr>
        <w:t>1） 其他应收款按款项性质分类情况</w:t>
      </w:r>
      <w:bookmarkEnd w:id="313"/>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备用金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110,000.00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55,000.00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保证金、押金</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600,000.00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600,000.00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子公司往来款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28,869,818.00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11,699,039.97</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往来款</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36,873,307.06</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37,054,312.57</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66,453,125.06</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49,408,352.54</w:t>
            </w:r>
          </w:p>
        </w:tc>
      </w:tr>
    </w:tbl>
    <w:p w:rsidR="00F068AD" w:rsidRDefault="00CB63CD">
      <w:pPr>
        <w:keepNext/>
        <w:keepLines/>
        <w:spacing w:before="300" w:after="300" w:line="280" w:lineRule="exact"/>
        <w:outlineLvl w:val="4"/>
        <w:rPr>
          <w:rFonts w:ascii="宋体" w:eastAsia="宋体" w:hAnsi="宋体" w:cs="宋体"/>
          <w:b/>
          <w:bCs/>
          <w:sz w:val="18"/>
          <w:szCs w:val="18"/>
        </w:rPr>
      </w:pPr>
      <w:bookmarkStart w:id="314" w:name="_Toc989204"/>
      <w:r>
        <w:rPr>
          <w:rFonts w:ascii="宋体" w:eastAsia="宋体" w:hAnsi="宋体" w:cs="宋体"/>
          <w:b/>
          <w:bCs/>
          <w:sz w:val="18"/>
          <w:szCs w:val="18"/>
        </w:rPr>
        <w:t>2） 坏账准备计提情况</w:t>
      </w:r>
      <w:bookmarkEnd w:id="314"/>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F068AD">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第一阶段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第二阶段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第三阶段</w:t>
            </w:r>
          </w:p>
        </w:tc>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F068AD">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未来12个月预期信用损失</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整个存续期预期信用损失(未发生信用减值)</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整个存续期预期信用损失(已发生信用减值)</w:t>
            </w:r>
          </w:p>
        </w:tc>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2022年1月1日余额</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1,393,320.64</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36,914,357.34</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2022年1月1日余额在本期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本期计提</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-26,300.28</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-26,300.28</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2022年6月30日余额</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1,367,020.36</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36,888,057.06</w:t>
            </w:r>
          </w:p>
        </w:tc>
      </w:tr>
    </w:tbl>
    <w:p w:rsidR="00F068AD" w:rsidRDefault="00CB63CD">
      <w:pPr>
        <w:spacing w:before="100" w:after="40" w:line="240" w:lineRule="exact"/>
        <w:rPr>
          <w:rFonts w:ascii="宋体" w:eastAsia="宋体" w:hAnsi="宋体" w:cs="宋体"/>
          <w:sz w:val="18"/>
          <w:szCs w:val="18"/>
        </w:rPr>
      </w:pPr>
      <w:r>
        <w:rPr>
          <w:rFonts w:ascii="宋体" w:eastAsia="宋体" w:hAnsi="宋体" w:cs="宋体"/>
          <w:sz w:val="18"/>
          <w:szCs w:val="18"/>
        </w:rPr>
        <w:t>损失准备本期变动金额重大的账面余额变动情况</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100" w:after="40" w:line="240" w:lineRule="exact"/>
        <w:rPr>
          <w:rFonts w:ascii="宋体" w:eastAsia="宋体" w:hAnsi="宋体" w:cs="宋体"/>
          <w:sz w:val="18"/>
          <w:szCs w:val="18"/>
        </w:rPr>
      </w:pPr>
      <w:r>
        <w:rPr>
          <w:rFonts w:ascii="宋体" w:eastAsia="宋体" w:hAnsi="宋体" w:cs="宋体"/>
          <w:sz w:val="18"/>
          <w:szCs w:val="18"/>
        </w:rPr>
        <w:t>按账龄披露</w:t>
      </w:r>
    </w:p>
    <w:p w:rsidR="00F068AD" w:rsidRDefault="00CB63C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29,564,818.00</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1年以内</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29,564,818.00</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35,571,036.70</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1,317,270.36</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3至4年</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4至5年</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5年以上</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1,317,270.36</w:t>
            </w:r>
          </w:p>
        </w:tc>
      </w:tr>
      <w:tr w:rsidR="00F068AD">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66,453,125.06</w:t>
            </w:r>
          </w:p>
        </w:tc>
      </w:tr>
    </w:tbl>
    <w:p w:rsidR="00F068AD" w:rsidRDefault="00CB63CD">
      <w:pPr>
        <w:keepNext/>
        <w:keepLines/>
        <w:spacing w:before="300" w:after="300" w:line="280" w:lineRule="exact"/>
        <w:outlineLvl w:val="4"/>
        <w:rPr>
          <w:rFonts w:ascii="宋体" w:eastAsia="宋体" w:hAnsi="宋体" w:cs="宋体"/>
          <w:b/>
          <w:bCs/>
          <w:sz w:val="18"/>
          <w:szCs w:val="18"/>
        </w:rPr>
      </w:pPr>
      <w:bookmarkStart w:id="315" w:name="_Toc989205"/>
      <w:r>
        <w:rPr>
          <w:rFonts w:ascii="宋体" w:eastAsia="宋体" w:hAnsi="宋体" w:cs="宋体"/>
          <w:b/>
          <w:bCs/>
          <w:sz w:val="18"/>
          <w:szCs w:val="18"/>
        </w:rPr>
        <w:t>3） 本期计提、收回或转回的坏账准备情况</w:t>
      </w:r>
      <w:bookmarkEnd w:id="315"/>
    </w:p>
    <w:p w:rsidR="00F068AD" w:rsidRDefault="00CB63CD">
      <w:pPr>
        <w:spacing w:line="240" w:lineRule="exact"/>
        <w:rPr>
          <w:rFonts w:ascii="宋体" w:eastAsia="宋体" w:hAnsi="宋体" w:cs="宋体"/>
          <w:sz w:val="18"/>
          <w:szCs w:val="18"/>
        </w:rPr>
      </w:pPr>
      <w:r>
        <w:rPr>
          <w:rFonts w:ascii="宋体" w:eastAsia="宋体" w:hAnsi="宋体" w:cs="宋体"/>
          <w:sz w:val="18"/>
          <w:szCs w:val="18"/>
        </w:rPr>
        <w:t>本期计提坏账准备情况：</w:t>
      </w:r>
    </w:p>
    <w:p w:rsidR="00F068AD" w:rsidRDefault="00CB63C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F068AD">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068AD">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36,914,357.34</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-26,300.28</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36,888,057.06</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36,914,357.34</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-26,300.28</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36,888,057.06</w:t>
            </w:r>
          </w:p>
        </w:tc>
      </w:tr>
    </w:tbl>
    <w:p w:rsidR="00CB63CD" w:rsidRDefault="00CB63CD">
      <w:pPr>
        <w:divId w:val="1690639454"/>
        <w:rPr>
          <w:sz w:val="18"/>
          <w:szCs w:val="18"/>
        </w:rPr>
      </w:pPr>
    </w:p>
    <w:p w:rsidR="00F068AD" w:rsidRDefault="00CB63CD">
      <w:pPr>
        <w:keepNext/>
        <w:keepLines/>
        <w:spacing w:before="300" w:after="300" w:line="280" w:lineRule="exact"/>
        <w:outlineLvl w:val="4"/>
        <w:rPr>
          <w:rFonts w:ascii="宋体" w:eastAsia="宋体" w:hAnsi="宋体" w:cs="宋体"/>
          <w:b/>
          <w:bCs/>
          <w:sz w:val="18"/>
          <w:szCs w:val="18"/>
        </w:rPr>
      </w:pPr>
      <w:bookmarkStart w:id="316" w:name="_Toc989206"/>
      <w:r>
        <w:rPr>
          <w:rFonts w:ascii="宋体" w:eastAsia="宋体" w:hAnsi="宋体" w:cs="宋体"/>
          <w:b/>
          <w:bCs/>
          <w:sz w:val="18"/>
          <w:szCs w:val="18"/>
        </w:rPr>
        <w:t>4） 本期实际核销的其他应收款情况</w:t>
      </w:r>
      <w:bookmarkEnd w:id="316"/>
    </w:p>
    <w:p w:rsidR="00CB63CD" w:rsidRDefault="00CB63CD">
      <w:pPr>
        <w:pStyle w:val="a3"/>
        <w:divId w:val="1004935122"/>
        <w:rPr>
          <w:sz w:val="18"/>
          <w:szCs w:val="18"/>
        </w:rPr>
      </w:pPr>
      <w:r>
        <w:rPr>
          <w:rFonts w:hint="eastAsia"/>
          <w:sz w:val="18"/>
          <w:szCs w:val="18"/>
        </w:rPr>
        <w:t>本报告期无实际核销的其他应收款。</w:t>
      </w:r>
    </w:p>
    <w:p w:rsidR="00F068AD" w:rsidRDefault="00CB63CD">
      <w:pPr>
        <w:keepNext/>
        <w:keepLines/>
        <w:spacing w:before="300" w:after="300" w:line="280" w:lineRule="exact"/>
        <w:outlineLvl w:val="4"/>
        <w:rPr>
          <w:rFonts w:ascii="宋体" w:eastAsia="宋体" w:hAnsi="宋体" w:cs="宋体"/>
          <w:b/>
          <w:bCs/>
          <w:sz w:val="18"/>
          <w:szCs w:val="18"/>
        </w:rPr>
      </w:pPr>
      <w:bookmarkStart w:id="317" w:name="_Toc989207"/>
      <w:r>
        <w:rPr>
          <w:rFonts w:ascii="宋体" w:eastAsia="宋体" w:hAnsi="宋体" w:cs="宋体"/>
          <w:b/>
          <w:bCs/>
          <w:sz w:val="18"/>
          <w:szCs w:val="18"/>
        </w:rPr>
        <w:t>5） 按欠款方归集的期末余额前五名的其他应收款情况</w:t>
      </w:r>
      <w:bookmarkEnd w:id="317"/>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占其他应收款期末余额合计数的比例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其他应收单位1</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2-3年</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53.45%</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35,521,036.70</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其他应收单位2</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子公司往来款</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28,869,818.00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1年以内</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43.44%</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其他应收单位3</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993,744.71</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5年以上</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993,744.71</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其他应收单位4</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保证金</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600,000.00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1年以内</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0.90%</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30,000.00</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其他应收单位5</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92,913.33</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5年以上</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0.14%</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92,913.33</w:t>
            </w:r>
          </w:p>
        </w:tc>
      </w:tr>
      <w:tr w:rsidR="00F068A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66,077,512.74</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99.43%</w:t>
            </w:r>
          </w:p>
        </w:tc>
        <w:tc>
          <w:tcPr>
            <w:tcW w:w="1606"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36,637,694.74</w:t>
            </w:r>
          </w:p>
        </w:tc>
      </w:tr>
    </w:tbl>
    <w:p w:rsidR="00F068AD" w:rsidRDefault="00CB63CD">
      <w:pPr>
        <w:pStyle w:val="3"/>
        <w:spacing w:line="280" w:lineRule="exact"/>
        <w:jc w:val="left"/>
        <w:rPr>
          <w:rFonts w:ascii="宋体" w:hAnsi="宋体" w:cs="宋体"/>
          <w:b/>
          <w:bCs/>
        </w:rPr>
      </w:pPr>
      <w:bookmarkStart w:id="318" w:name="_Toc989208"/>
      <w:r>
        <w:rPr>
          <w:rFonts w:ascii="宋体" w:hAnsi="宋体" w:cs="宋体"/>
          <w:b/>
          <w:bCs/>
        </w:rPr>
        <w:t>3、长期股权投资</w:t>
      </w:r>
      <w:bookmarkEnd w:id="318"/>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F068AD">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068AD">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对子公司投资</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1,887,953,822.91</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1,887,953,822.91</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1,887,953,822.91</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1,887,953,822.91</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对联营、合营企业投资</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2,691,288,067.55</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150,372,866.09</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2,540,915,201.46</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2,710,197,032.92</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150,372,866.09</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2,559,824,166.83</w:t>
            </w:r>
          </w:p>
        </w:tc>
      </w:tr>
      <w:tr w:rsidR="00F068A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4,579,241,890.46</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150,372,866.09</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4,428,869,024.37</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4,598,150,855.83</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150,372,866.09</w:t>
            </w:r>
          </w:p>
        </w:tc>
        <w:tc>
          <w:tcPr>
            <w:tcW w:w="137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4,447,777,989.74</w:t>
            </w:r>
          </w:p>
        </w:tc>
      </w:tr>
    </w:tbl>
    <w:p w:rsidR="00F068AD" w:rsidRDefault="00CB63CD">
      <w:pPr>
        <w:keepNext/>
        <w:keepLines/>
        <w:spacing w:before="300" w:after="300" w:line="280" w:lineRule="exact"/>
        <w:outlineLvl w:val="3"/>
        <w:rPr>
          <w:rFonts w:ascii="宋体" w:eastAsia="宋体" w:hAnsi="宋体" w:cs="宋体"/>
          <w:b/>
          <w:bCs/>
          <w:szCs w:val="21"/>
        </w:rPr>
      </w:pPr>
      <w:bookmarkStart w:id="319" w:name="_Toc989209"/>
      <w:r>
        <w:rPr>
          <w:rFonts w:ascii="宋体" w:eastAsia="宋体" w:hAnsi="宋体" w:cs="宋体"/>
          <w:b/>
          <w:bCs/>
          <w:szCs w:val="21"/>
        </w:rPr>
        <w:t>（1） 对子公司投资</w:t>
      </w:r>
      <w:bookmarkEnd w:id="319"/>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205"/>
        <w:gridCol w:w="1205"/>
        <w:gridCol w:w="1205"/>
        <w:gridCol w:w="1205"/>
        <w:gridCol w:w="1205"/>
      </w:tblGrid>
      <w:tr w:rsidR="00F068AD">
        <w:trPr>
          <w:trHeight w:val="240"/>
        </w:trPr>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期初余额（账面价值）</w:t>
            </w:r>
          </w:p>
        </w:tc>
        <w:tc>
          <w:tcPr>
            <w:tcW w:w="4820"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本期增减变动</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期末余额（账面价值）</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减值准备期末余额</w:t>
            </w:r>
          </w:p>
        </w:tc>
      </w:tr>
      <w:tr w:rsidR="00F068AD">
        <w:trPr>
          <w:trHeight w:val="240"/>
        </w:trPr>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追加投资</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减少投资</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计提减值准备</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160,453,822.91</w:t>
            </w: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160,453,822.91</w:t>
            </w: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江阴华西村资本有限公司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725,000,000.00</w:t>
            </w: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725,000,000.00</w:t>
            </w: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上海启澜企业管理咨询合伙企业</w:t>
            </w:r>
            <w:r>
              <w:rPr>
                <w:rFonts w:ascii="宋体" w:eastAsia="宋体" w:hAnsi="宋体" w:cs="宋体"/>
                <w:sz w:val="18"/>
                <w:szCs w:val="18"/>
              </w:rPr>
              <w:lastRenderedPageBreak/>
              <w:t>（有限合伙）</w:t>
            </w: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lastRenderedPageBreak/>
              <w:t>962,500,000.00</w:t>
            </w: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962,500,000.00</w:t>
            </w: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lastRenderedPageBreak/>
              <w:t>江阴市华西新材料科技有限公司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40,000,000.00</w:t>
            </w: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40,000,000.00</w:t>
            </w: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1,887,953,822.91</w:t>
            </w: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1,887,953,822.91</w:t>
            </w:r>
          </w:p>
        </w:tc>
        <w:tc>
          <w:tcPr>
            <w:tcW w:w="1205"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bl>
    <w:p w:rsidR="00F068AD" w:rsidRDefault="00CB63CD">
      <w:pPr>
        <w:keepNext/>
        <w:keepLines/>
        <w:spacing w:before="300" w:after="300" w:line="280" w:lineRule="exact"/>
        <w:outlineLvl w:val="3"/>
        <w:rPr>
          <w:rFonts w:ascii="宋体" w:eastAsia="宋体" w:hAnsi="宋体" w:cs="宋体"/>
          <w:b/>
          <w:bCs/>
          <w:szCs w:val="21"/>
        </w:rPr>
      </w:pPr>
      <w:bookmarkStart w:id="320" w:name="_Toc989210"/>
      <w:r>
        <w:rPr>
          <w:rFonts w:ascii="宋体" w:eastAsia="宋体" w:hAnsi="宋体" w:cs="宋体"/>
          <w:b/>
          <w:bCs/>
          <w:szCs w:val="21"/>
        </w:rPr>
        <w:t>（2） 对联营、合营企业投资</w:t>
      </w:r>
      <w:bookmarkEnd w:id="320"/>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03"/>
        <w:gridCol w:w="803"/>
        <w:gridCol w:w="803"/>
        <w:gridCol w:w="803"/>
        <w:gridCol w:w="803"/>
        <w:gridCol w:w="803"/>
        <w:gridCol w:w="803"/>
        <w:gridCol w:w="803"/>
        <w:gridCol w:w="803"/>
        <w:gridCol w:w="805"/>
        <w:gridCol w:w="803"/>
        <w:gridCol w:w="804"/>
      </w:tblGrid>
      <w:tr w:rsidR="00F068AD">
        <w:trPr>
          <w:trHeight w:val="240"/>
        </w:trPr>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投资单位</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期初余额（账面价值）</w:t>
            </w:r>
          </w:p>
        </w:tc>
        <w:tc>
          <w:tcPr>
            <w:tcW w:w="6426"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本期增减变动</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期末余额（账面价值）</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减值准备期末余额</w:t>
            </w:r>
          </w:p>
        </w:tc>
      </w:tr>
      <w:tr w:rsidR="00F068AD">
        <w:trPr>
          <w:trHeight w:val="240"/>
        </w:trPr>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追加投资</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减少投资</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权益法下确认的投资损益</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其他综合收益调整</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其他权益变动</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宣告发放现金股利或利润</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计提减值准备</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trPr>
          <w:trHeight w:val="240"/>
        </w:trPr>
        <w:tc>
          <w:tcPr>
            <w:tcW w:w="96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一、合营企业</w:t>
            </w:r>
          </w:p>
        </w:tc>
      </w:tr>
      <w:tr w:rsidR="00F068AD">
        <w:trPr>
          <w:trHeight w:val="240"/>
        </w:trPr>
        <w:tc>
          <w:tcPr>
            <w:tcW w:w="96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二、联营企业</w:t>
            </w:r>
          </w:p>
        </w:tc>
      </w:tr>
      <w:tr w:rsidR="00F068AD">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联储证券有限责任公司</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1,252,420,400.00</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-10,452,967.60</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1,394,308.52</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-234,596.91</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1,243,127,144.01</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33,306,473.15</w:t>
            </w:r>
          </w:p>
        </w:tc>
      </w:tr>
      <w:tr w:rsidR="00F068AD">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一村资本有限公司</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1,307,403,766.83</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31,308,448.24</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40,924,157.62</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1,297,788,057.45</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117,066,392.94</w:t>
            </w:r>
          </w:p>
        </w:tc>
      </w:tr>
      <w:tr w:rsidR="00F068AD">
        <w:trPr>
          <w:trHeight w:val="240"/>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小计</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2,559,824,166.83</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20,855,480.64</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1,394,308.52</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-234,596.91</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40,924,157.62</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2,540,915,201.46</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150,372,866.09</w:t>
            </w:r>
          </w:p>
        </w:tc>
      </w:tr>
      <w:tr w:rsidR="00F068AD">
        <w:trPr>
          <w:trHeight w:val="240"/>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2,559,824,166.83</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20,855,480.64</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1,394,308.52</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-234,596.91</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40,924,157.62</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2,540,915,201.46</w:t>
            </w:r>
          </w:p>
        </w:tc>
        <w:tc>
          <w:tcPr>
            <w:tcW w:w="80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150,372,866.09</w:t>
            </w:r>
          </w:p>
        </w:tc>
      </w:tr>
    </w:tbl>
    <w:p w:rsidR="00F068AD" w:rsidRDefault="00CB63CD">
      <w:pPr>
        <w:pStyle w:val="3"/>
        <w:spacing w:line="280" w:lineRule="exact"/>
        <w:jc w:val="left"/>
        <w:rPr>
          <w:rFonts w:ascii="宋体" w:hAnsi="宋体" w:cs="宋体"/>
          <w:b/>
          <w:bCs/>
        </w:rPr>
      </w:pPr>
      <w:bookmarkStart w:id="321" w:name="_Toc989211"/>
      <w:r>
        <w:rPr>
          <w:rFonts w:ascii="宋体" w:hAnsi="宋体" w:cs="宋体"/>
          <w:b/>
          <w:bCs/>
        </w:rPr>
        <w:t>4、营业收入和营业成本</w:t>
      </w:r>
      <w:bookmarkEnd w:id="321"/>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F068AD">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068AD">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主营业务</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1,337,782,007.49</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1,316,209,245.00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1,096,175,934.57</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992,520,905.54</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其他业务</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31,973,121.22</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29,898,190.43</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110,314,670.03</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112,852,221.02</w:t>
            </w:r>
          </w:p>
        </w:tc>
      </w:tr>
      <w:tr w:rsidR="00F068A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1,369,755,128.71</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1,346,107,435.43</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1,206,490,604.60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1,105,373,126.56</w:t>
            </w:r>
          </w:p>
        </w:tc>
      </w:tr>
    </w:tbl>
    <w:p w:rsidR="00F068AD" w:rsidRDefault="00CB63CD">
      <w:pPr>
        <w:spacing w:before="100" w:after="40" w:line="240" w:lineRule="exact"/>
        <w:rPr>
          <w:rFonts w:ascii="宋体" w:eastAsia="宋体" w:hAnsi="宋体" w:cs="宋体"/>
          <w:sz w:val="18"/>
          <w:szCs w:val="18"/>
        </w:rPr>
      </w:pPr>
      <w:r>
        <w:rPr>
          <w:rFonts w:ascii="宋体" w:eastAsia="宋体" w:hAnsi="宋体" w:cs="宋体"/>
          <w:sz w:val="18"/>
          <w:szCs w:val="18"/>
        </w:rPr>
        <w:t>收入相关信息：</w:t>
      </w:r>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F068AD" w:rsidTr="005D53A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合同分类</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分部1</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分部2</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center"/>
              <w:rPr>
                <w:rFonts w:ascii="宋体" w:eastAsia="宋体" w:hAnsi="宋体" w:cs="宋体"/>
                <w:sz w:val="18"/>
                <w:szCs w:val="18"/>
              </w:rPr>
            </w:pPr>
            <w:r>
              <w:rPr>
                <w:rFonts w:ascii="宋体" w:eastAsia="宋体" w:hAnsi="宋体" w:cs="宋体"/>
                <w:sz w:val="18"/>
                <w:szCs w:val="18"/>
              </w:rPr>
              <w:t>本公司</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F068AD" w:rsidTr="005D53A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商品类型</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1,369,755,128.71</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1,369,755,128.71</w:t>
            </w:r>
          </w:p>
        </w:tc>
      </w:tr>
      <w:tr w:rsidR="00F068AD" w:rsidTr="005D53A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rsidTr="005D53A3">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纺织品销售收入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1,337,782,007.49</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1,337,782,007.49</w:t>
            </w:r>
          </w:p>
        </w:tc>
      </w:tr>
      <w:tr w:rsidR="00F068AD" w:rsidTr="005D53A3">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材料销售收入</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31,973,121.22</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31,973,121.22</w:t>
            </w:r>
          </w:p>
        </w:tc>
      </w:tr>
      <w:tr w:rsidR="00F068AD" w:rsidTr="005D53A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按经营地区分类</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1,369,755,128.71</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1,369,755,128.71</w:t>
            </w:r>
          </w:p>
        </w:tc>
      </w:tr>
      <w:tr w:rsidR="00F068AD" w:rsidTr="005D53A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rsidTr="005D53A3">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国内</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1,139,953,717.10</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1,139,953,717.10</w:t>
            </w:r>
          </w:p>
        </w:tc>
      </w:tr>
      <w:tr w:rsidR="00F068AD" w:rsidTr="005D53A3">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lastRenderedPageBreak/>
              <w:t>国外</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229,801,411.61</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229,801,411.61</w:t>
            </w:r>
          </w:p>
        </w:tc>
      </w:tr>
      <w:tr w:rsidR="00F068AD" w:rsidTr="005D53A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市场或客户类型</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rsidTr="005D53A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rsidTr="005D53A3">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rsidTr="005D53A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合同类型</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rsidTr="005D53A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rsidTr="005D53A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按商品转让的时间分类</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rsidTr="005D53A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rsidTr="005D53A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按合同期限分类</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rsidTr="005D53A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rsidTr="005D53A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按销售渠道分类</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r w:rsidR="00F068AD" w:rsidTr="005D53A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r>
      <w:tr w:rsidR="00F068AD" w:rsidTr="005D53A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r>
    </w:tbl>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与履约义务相关的信息：</w:t>
      </w:r>
    </w:p>
    <w:p w:rsidR="00CB63CD" w:rsidRDefault="00CB63CD">
      <w:pPr>
        <w:pStyle w:val="a3"/>
        <w:spacing w:before="0" w:beforeAutospacing="0" w:after="0" w:afterAutospacing="0" w:line="360" w:lineRule="auto"/>
        <w:ind w:firstLine="360"/>
        <w:jc w:val="both"/>
        <w:divId w:val="1865710252"/>
        <w:rPr>
          <w:rFonts w:ascii="Times New Roman" w:hAnsi="Times New Roman" w:cs="Times New Roman"/>
          <w:sz w:val="21"/>
          <w:szCs w:val="21"/>
        </w:rPr>
      </w:pPr>
      <w:r>
        <w:rPr>
          <w:rFonts w:cs="Times New Roman" w:hint="eastAsia"/>
          <w:sz w:val="18"/>
          <w:szCs w:val="18"/>
        </w:rPr>
        <w:t>本公司收入主要来源于销售商品和码头仓储服务，销售商品属于在某一时点履行履约义务。公司在满足下列条件时确认收入：</w:t>
      </w:r>
    </w:p>
    <w:p w:rsidR="00CB63CD" w:rsidRDefault="00CB63CD">
      <w:pPr>
        <w:pStyle w:val="a3"/>
        <w:spacing w:before="0" w:beforeAutospacing="0" w:after="0" w:afterAutospacing="0" w:line="360" w:lineRule="auto"/>
        <w:ind w:firstLine="360"/>
        <w:jc w:val="both"/>
        <w:divId w:val="1865710252"/>
        <w:rPr>
          <w:rFonts w:ascii="Times New Roman" w:hAnsi="Times New Roman" w:cs="Times New Roman"/>
          <w:sz w:val="21"/>
          <w:szCs w:val="21"/>
        </w:rPr>
      </w:pPr>
      <w:r>
        <w:rPr>
          <w:rFonts w:cs="Times New Roman" w:hint="eastAsia"/>
          <w:sz w:val="18"/>
          <w:szCs w:val="18"/>
        </w:rPr>
        <w:t>购买方在确认接收商品后享有自行销售和使用产品的权利并承担该产品可能发生价格波动或毁损的风险。其中：</w:t>
      </w:r>
    </w:p>
    <w:p w:rsidR="00CB63CD" w:rsidRDefault="00CB63CD">
      <w:pPr>
        <w:pStyle w:val="a3"/>
        <w:spacing w:before="0" w:beforeAutospacing="0" w:after="0" w:afterAutospacing="0" w:line="360" w:lineRule="auto"/>
        <w:ind w:firstLine="360"/>
        <w:jc w:val="both"/>
        <w:divId w:val="1865710252"/>
        <w:rPr>
          <w:rFonts w:ascii="Times New Roman" w:hAnsi="Times New Roman" w:cs="Times New Roman"/>
          <w:sz w:val="21"/>
          <w:szCs w:val="21"/>
        </w:rPr>
      </w:pPr>
      <w:r>
        <w:rPr>
          <w:rFonts w:cs="Times New Roman" w:hint="eastAsia"/>
          <w:sz w:val="18"/>
          <w:szCs w:val="18"/>
        </w:rPr>
        <w:t>①国内销售收入确认需满足以下条件：公司已根据合同约定将产品交付给客户且客户已接受该商品，已经收回货款或取得了收款权利的凭证等；</w:t>
      </w:r>
    </w:p>
    <w:p w:rsidR="00CB63CD" w:rsidRDefault="00CB63CD">
      <w:pPr>
        <w:pStyle w:val="a3"/>
        <w:spacing w:before="0" w:beforeAutospacing="0" w:after="0" w:afterAutospacing="0" w:line="360" w:lineRule="auto"/>
        <w:ind w:firstLine="360"/>
        <w:jc w:val="both"/>
        <w:divId w:val="1865710252"/>
        <w:rPr>
          <w:rFonts w:ascii="Times New Roman" w:hAnsi="Times New Roman" w:cs="Times New Roman"/>
          <w:sz w:val="21"/>
          <w:szCs w:val="21"/>
        </w:rPr>
      </w:pPr>
      <w:r>
        <w:rPr>
          <w:rFonts w:cs="Times New Roman" w:hint="eastAsia"/>
          <w:sz w:val="18"/>
          <w:szCs w:val="18"/>
        </w:rPr>
        <w:t>②对于国外销售的产品，以产品发运、办理出口清关手续并取得报关单及货运提单时确认销售收入。</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与分摊至剩余履约义务的交易价格相关的信息：</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本报告期末已签订合同、但尚未履行或尚未履行完毕的履约义务所对应的收入金额为131,611,418.23元，其中，131,611,418.23元预计将于2022年</w:t>
      </w:r>
      <w:r w:rsidR="00920C45">
        <w:rPr>
          <w:rFonts w:ascii="宋体" w:eastAsia="宋体" w:hAnsi="宋体" w:cs="宋体"/>
          <w:sz w:val="18"/>
          <w:szCs w:val="18"/>
        </w:rPr>
        <w:t>下半年</w:t>
      </w:r>
      <w:r>
        <w:rPr>
          <w:rFonts w:ascii="宋体" w:eastAsia="宋体" w:hAnsi="宋体" w:cs="宋体"/>
          <w:sz w:val="18"/>
          <w:szCs w:val="18"/>
        </w:rPr>
        <w:t>度确认收入。</w:t>
      </w:r>
    </w:p>
    <w:p w:rsidR="00CB63CD" w:rsidRDefault="00CB63CD">
      <w:pPr>
        <w:spacing w:before="100" w:beforeAutospacing="1" w:after="100" w:afterAutospacing="1"/>
        <w:ind w:firstLine="482"/>
        <w:divId w:val="1210610683"/>
      </w:pPr>
      <w:r>
        <w:rPr>
          <w:rFonts w:hint="eastAsia"/>
          <w:sz w:val="18"/>
          <w:szCs w:val="18"/>
        </w:rPr>
        <w:t>前五名客户的营业收入情况：</w:t>
      </w:r>
      <w:r w:rsidR="00A64DD4">
        <w:rPr>
          <w:rFonts w:hint="eastAsia"/>
          <w:sz w:val="18"/>
          <w:szCs w:val="18"/>
        </w:rPr>
        <w:t xml:space="preserve">                                                                                                                                 </w:t>
      </w:r>
      <w:r w:rsidR="00A64DD4">
        <w:rPr>
          <w:rFonts w:hint="eastAsia"/>
          <w:sz w:val="18"/>
          <w:szCs w:val="18"/>
        </w:rPr>
        <w:t>单位：元</w:t>
      </w:r>
    </w:p>
    <w:tbl>
      <w:tblPr>
        <w:tblW w:w="4877" w:type="pct"/>
        <w:tblCellMar>
          <w:left w:w="0" w:type="dxa"/>
          <w:right w:w="0" w:type="dxa"/>
        </w:tblCellMar>
        <w:tblLook w:val="04A0" w:firstRow="1" w:lastRow="0" w:firstColumn="1" w:lastColumn="0" w:noHBand="0" w:noVBand="1"/>
      </w:tblPr>
      <w:tblGrid>
        <w:gridCol w:w="3109"/>
        <w:gridCol w:w="3250"/>
        <w:gridCol w:w="3252"/>
      </w:tblGrid>
      <w:tr w:rsidR="00CB63CD">
        <w:trPr>
          <w:divId w:val="1210610683"/>
          <w:trHeight w:val="340"/>
        </w:trPr>
        <w:tc>
          <w:tcPr>
            <w:tcW w:w="161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ind w:right="31"/>
              <w:jc w:val="center"/>
              <w:rPr>
                <w:rFonts w:ascii="Times New Roman" w:hAnsi="Times New Roman" w:cs="Times New Roman"/>
                <w:sz w:val="21"/>
                <w:szCs w:val="21"/>
              </w:rPr>
            </w:pPr>
            <w:r>
              <w:rPr>
                <w:rFonts w:cs="Times New Roman" w:hint="eastAsia"/>
                <w:sz w:val="18"/>
                <w:szCs w:val="18"/>
              </w:rPr>
              <w:t>项   目</w:t>
            </w:r>
          </w:p>
        </w:tc>
        <w:tc>
          <w:tcPr>
            <w:tcW w:w="169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ind w:right="31"/>
              <w:jc w:val="center"/>
              <w:rPr>
                <w:rFonts w:ascii="Times New Roman" w:hAnsi="Times New Roman" w:cs="Times New Roman"/>
                <w:sz w:val="21"/>
                <w:szCs w:val="21"/>
              </w:rPr>
            </w:pPr>
            <w:r>
              <w:rPr>
                <w:rFonts w:cs="Times New Roman" w:hint="eastAsia"/>
                <w:sz w:val="18"/>
                <w:szCs w:val="18"/>
              </w:rPr>
              <w:t>本期发生额</w:t>
            </w:r>
          </w:p>
        </w:tc>
        <w:tc>
          <w:tcPr>
            <w:tcW w:w="169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ind w:right="31"/>
              <w:jc w:val="center"/>
              <w:rPr>
                <w:rFonts w:ascii="Times New Roman" w:hAnsi="Times New Roman" w:cs="Times New Roman"/>
                <w:sz w:val="21"/>
                <w:szCs w:val="21"/>
              </w:rPr>
            </w:pPr>
            <w:r>
              <w:rPr>
                <w:rFonts w:cs="Times New Roman" w:hint="eastAsia"/>
                <w:sz w:val="18"/>
                <w:szCs w:val="18"/>
              </w:rPr>
              <w:t>上期发生额</w:t>
            </w:r>
          </w:p>
        </w:tc>
      </w:tr>
      <w:tr w:rsidR="00CB63CD">
        <w:trPr>
          <w:divId w:val="1210610683"/>
          <w:trHeight w:val="340"/>
        </w:trPr>
        <w:tc>
          <w:tcPr>
            <w:tcW w:w="16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ind w:right="31"/>
              <w:rPr>
                <w:rFonts w:ascii="Times New Roman" w:hAnsi="Times New Roman" w:cs="Times New Roman"/>
                <w:sz w:val="21"/>
                <w:szCs w:val="21"/>
              </w:rPr>
            </w:pPr>
            <w:r>
              <w:rPr>
                <w:rFonts w:cs="Times New Roman" w:hint="eastAsia"/>
                <w:sz w:val="18"/>
                <w:szCs w:val="18"/>
              </w:rPr>
              <w:t>销售前五名客户收入总额</w:t>
            </w:r>
          </w:p>
        </w:tc>
        <w:tc>
          <w:tcPr>
            <w:tcW w:w="1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381,244,053.15</w:t>
            </w:r>
          </w:p>
        </w:tc>
        <w:tc>
          <w:tcPr>
            <w:tcW w:w="16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319,680,023.45</w:t>
            </w:r>
          </w:p>
        </w:tc>
      </w:tr>
      <w:tr w:rsidR="00CB63CD">
        <w:trPr>
          <w:divId w:val="1210610683"/>
          <w:trHeight w:val="340"/>
        </w:trPr>
        <w:tc>
          <w:tcPr>
            <w:tcW w:w="16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ind w:right="31"/>
              <w:rPr>
                <w:rFonts w:ascii="Times New Roman" w:hAnsi="Times New Roman" w:cs="Times New Roman"/>
                <w:sz w:val="21"/>
                <w:szCs w:val="21"/>
              </w:rPr>
            </w:pPr>
            <w:r>
              <w:rPr>
                <w:rFonts w:cs="Times New Roman" w:hint="eastAsia"/>
                <w:sz w:val="18"/>
                <w:szCs w:val="18"/>
              </w:rPr>
              <w:t>占营业收入总额的比例</w:t>
            </w:r>
          </w:p>
        </w:tc>
        <w:tc>
          <w:tcPr>
            <w:tcW w:w="1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27.83%</w:t>
            </w:r>
          </w:p>
        </w:tc>
        <w:tc>
          <w:tcPr>
            <w:tcW w:w="16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63CD" w:rsidRDefault="00CB63CD">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26.50%</w:t>
            </w:r>
          </w:p>
        </w:tc>
      </w:tr>
    </w:tbl>
    <w:p w:rsidR="00F068AD" w:rsidRDefault="00CB63CD">
      <w:pPr>
        <w:pStyle w:val="3"/>
        <w:spacing w:line="280" w:lineRule="exact"/>
        <w:jc w:val="left"/>
        <w:rPr>
          <w:rFonts w:ascii="宋体" w:hAnsi="宋体" w:cs="宋体"/>
          <w:b/>
          <w:bCs/>
        </w:rPr>
      </w:pPr>
      <w:bookmarkStart w:id="322" w:name="_Toc989212"/>
      <w:r>
        <w:rPr>
          <w:rFonts w:ascii="宋体" w:hAnsi="宋体" w:cs="宋体"/>
          <w:b/>
          <w:bCs/>
        </w:rPr>
        <w:t>5、投资收益</w:t>
      </w:r>
      <w:bookmarkEnd w:id="322"/>
    </w:p>
    <w:p w:rsidR="00F068AD" w:rsidRDefault="00CB63C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成本法核算的长期股权投资收益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75,000,000.00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权益法核算的长期股权投资收益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20,855,480.64</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15,132,691.12</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交易性金融资产在持有期间的投资收益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14,011,552.00</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53,976,163.50</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处置交易性金融资产取得的投资收益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17,417,941.21</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107,497,923.16</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52,284,973.85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251,606,777.78</w:t>
            </w:r>
          </w:p>
        </w:tc>
      </w:tr>
    </w:tbl>
    <w:p w:rsidR="00F068AD" w:rsidRDefault="00CB63CD">
      <w:pPr>
        <w:pStyle w:val="2"/>
        <w:spacing w:before="300" w:after="300" w:line="320" w:lineRule="exact"/>
        <w:rPr>
          <w:rFonts w:ascii="宋体" w:eastAsia="宋体" w:hAnsi="宋体" w:cs="宋体"/>
          <w:b/>
          <w:bCs/>
          <w:sz w:val="24"/>
          <w:szCs w:val="24"/>
        </w:rPr>
      </w:pPr>
      <w:bookmarkStart w:id="323" w:name="_Toc989213"/>
      <w:r>
        <w:rPr>
          <w:rFonts w:ascii="宋体" w:eastAsia="宋体" w:hAnsi="宋体" w:cs="宋体"/>
          <w:b/>
          <w:bCs/>
          <w:sz w:val="24"/>
          <w:szCs w:val="24"/>
        </w:rPr>
        <w:lastRenderedPageBreak/>
        <w:t>十八、补充资料</w:t>
      </w:r>
      <w:bookmarkEnd w:id="323"/>
    </w:p>
    <w:p w:rsidR="00F068AD" w:rsidRDefault="00CB63CD">
      <w:pPr>
        <w:pStyle w:val="3"/>
        <w:spacing w:line="280" w:lineRule="exact"/>
        <w:jc w:val="left"/>
        <w:rPr>
          <w:rFonts w:ascii="宋体" w:hAnsi="宋体" w:cs="宋体"/>
          <w:b/>
          <w:bCs/>
        </w:rPr>
      </w:pPr>
      <w:bookmarkStart w:id="324" w:name="_Toc989214"/>
      <w:r>
        <w:rPr>
          <w:rFonts w:ascii="宋体" w:hAnsi="宋体" w:cs="宋体"/>
          <w:b/>
          <w:bCs/>
        </w:rPr>
        <w:t>1、当期非经常性损益明细表</w:t>
      </w:r>
      <w:bookmarkEnd w:id="324"/>
    </w:p>
    <w:p w:rsidR="00F068AD" w:rsidRDefault="00CB63CD">
      <w:pPr>
        <w:spacing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F068AD" w:rsidRDefault="00CB63C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说明</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非流动资产处置损益</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-4,582.53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计入当期损益的政府补助（与公司正常经营业务密切相关，符合国家政策规定、按照一定标准定额或定量持续享受的政府补助除外）</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1,295,131.16</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除上述各项之外的其他营业外收入和支出</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-394,851.35</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减：所得税影响额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223,924.32</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少数股东权益影响额</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147,204.43</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F068AD">
            <w:pPr>
              <w:spacing w:line="240" w:lineRule="exact"/>
              <w:rPr>
                <w:rFonts w:ascii="宋体" w:eastAsia="宋体" w:hAnsi="宋体" w:cs="宋体"/>
                <w:sz w:val="18"/>
                <w:szCs w:val="18"/>
              </w:rPr>
            </w:pP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524,568.53</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其他符合非经常性损益定义的损益项目的具体情况：</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spacing w:before="100" w:after="100" w:line="240" w:lineRule="exact"/>
        <w:rPr>
          <w:rFonts w:ascii="宋体" w:eastAsia="宋体" w:hAnsi="宋体" w:cs="宋体"/>
          <w:sz w:val="18"/>
          <w:szCs w:val="18"/>
        </w:rPr>
      </w:pPr>
      <w:r>
        <w:rPr>
          <w:rFonts w:ascii="宋体" w:eastAsia="宋体" w:hAnsi="宋体" w:cs="宋体"/>
          <w:sz w:val="18"/>
          <w:szCs w:val="18"/>
        </w:rPr>
        <w:t>公司不存在其他符合非经常性损益定义的损益项目的具体情况。</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将《公开发行证券的公司信息披露解释性公告第1号——非经常性损益》中列举的非经常性损益项目界定为经常性损益项目的情况说明</w:t>
      </w:r>
    </w:p>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068A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涉及金额（元）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原因</w:t>
            </w:r>
          </w:p>
        </w:tc>
      </w:tr>
      <w:tr w:rsidR="00F068A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rPr>
                <w:rFonts w:ascii="宋体" w:eastAsia="宋体" w:hAnsi="宋体" w:cs="宋体"/>
                <w:sz w:val="18"/>
                <w:szCs w:val="18"/>
              </w:rPr>
            </w:pPr>
            <w:r>
              <w:rPr>
                <w:rFonts w:ascii="宋体" w:eastAsia="宋体" w:hAnsi="宋体" w:cs="宋体"/>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7,279,653.99</w:t>
            </w:r>
          </w:p>
        </w:tc>
        <w:tc>
          <w:tcPr>
            <w:tcW w:w="3213" w:type="dxa"/>
            <w:tcBorders>
              <w:top w:val="single" w:sz="2" w:space="0" w:color="auto"/>
              <w:left w:val="single" w:sz="2" w:space="0" w:color="auto"/>
              <w:bottom w:val="single" w:sz="2" w:space="0" w:color="auto"/>
              <w:right w:val="single" w:sz="2" w:space="0" w:color="auto"/>
            </w:tcBorders>
            <w:vAlign w:val="center"/>
          </w:tcPr>
          <w:p w:rsidR="00F068AD" w:rsidRDefault="0082499F">
            <w:pPr>
              <w:spacing w:line="240" w:lineRule="exact"/>
              <w:rPr>
                <w:rFonts w:ascii="宋体" w:eastAsia="宋体" w:hAnsi="宋体" w:cs="宋体"/>
                <w:sz w:val="18"/>
                <w:szCs w:val="18"/>
              </w:rPr>
            </w:pPr>
            <w:r>
              <w:rPr>
                <w:rFonts w:ascii="宋体" w:eastAsia="宋体" w:hAnsi="宋体" w:cs="宋体" w:hint="eastAsia"/>
                <w:kern w:val="0"/>
                <w:sz w:val="18"/>
                <w:szCs w:val="18"/>
              </w:rPr>
              <w:t>公司经营范围包括：创业投资；利用自有资产对外投资等。本期持有的交易性金融资产生的公允价值变动损益</w:t>
            </w:r>
            <w:r w:rsidR="00C26852">
              <w:rPr>
                <w:rFonts w:ascii="宋体" w:eastAsia="宋体" w:hAnsi="宋体" w:cs="宋体" w:hint="eastAsia"/>
                <w:kern w:val="0"/>
                <w:sz w:val="18"/>
                <w:szCs w:val="18"/>
              </w:rPr>
              <w:t>，</w:t>
            </w:r>
            <w:r>
              <w:rPr>
                <w:rFonts w:ascii="宋体" w:eastAsia="宋体" w:hAnsi="宋体" w:cs="宋体" w:hint="eastAsia"/>
                <w:kern w:val="0"/>
                <w:sz w:val="18"/>
                <w:szCs w:val="18"/>
              </w:rPr>
              <w:t>以及处置交易性金融资产和可供出售金融资产取得的投资收益均来自于公司及子公司，系公司的经常性损益。</w:t>
            </w:r>
          </w:p>
        </w:tc>
      </w:tr>
    </w:tbl>
    <w:p w:rsidR="00F068AD" w:rsidRDefault="00CB63CD">
      <w:pPr>
        <w:pStyle w:val="3"/>
        <w:spacing w:line="280" w:lineRule="exact"/>
        <w:jc w:val="left"/>
        <w:rPr>
          <w:rFonts w:ascii="宋体" w:hAnsi="宋体" w:cs="宋体"/>
          <w:b/>
          <w:bCs/>
        </w:rPr>
      </w:pPr>
      <w:bookmarkStart w:id="325" w:name="_Toc989215"/>
      <w:r>
        <w:rPr>
          <w:rFonts w:ascii="宋体" w:hAnsi="宋体" w:cs="宋体"/>
          <w:b/>
          <w:bCs/>
        </w:rPr>
        <w:t>2、净资产收益率及每股收益</w:t>
      </w:r>
      <w:bookmarkEnd w:id="325"/>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F068AD">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报告期利润</w:t>
            </w:r>
          </w:p>
        </w:tc>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加权平均净资产收益率</w:t>
            </w:r>
          </w:p>
        </w:tc>
        <w:tc>
          <w:tcPr>
            <w:tcW w:w="482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每股收益</w:t>
            </w:r>
          </w:p>
        </w:tc>
      </w:tr>
      <w:tr w:rsidR="00F068AD">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F068AD"/>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基本每股收益（元/股）</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jc w:val="center"/>
              <w:rPr>
                <w:rFonts w:ascii="宋体" w:eastAsia="宋体" w:hAnsi="宋体" w:cs="宋体"/>
                <w:sz w:val="18"/>
                <w:szCs w:val="18"/>
              </w:rPr>
            </w:pPr>
            <w:r>
              <w:rPr>
                <w:rFonts w:ascii="宋体" w:eastAsia="宋体" w:hAnsi="宋体" w:cs="宋体"/>
                <w:sz w:val="18"/>
                <w:szCs w:val="18"/>
              </w:rPr>
              <w:t>稀释每股收益（元/股）</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归属于公司普通股股东的净利润</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1.95%</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0.11</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0.11</w:t>
            </w:r>
          </w:p>
        </w:tc>
      </w:tr>
      <w:tr w:rsidR="00F068A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068AD" w:rsidRDefault="00CB63CD">
            <w:pPr>
              <w:spacing w:before="40" w:after="40" w:line="240" w:lineRule="exact"/>
              <w:rPr>
                <w:rFonts w:ascii="宋体" w:eastAsia="宋体" w:hAnsi="宋体" w:cs="宋体"/>
                <w:sz w:val="18"/>
                <w:szCs w:val="18"/>
              </w:rPr>
            </w:pPr>
            <w:r>
              <w:rPr>
                <w:rFonts w:ascii="宋体" w:eastAsia="宋体" w:hAnsi="宋体" w:cs="宋体"/>
                <w:sz w:val="18"/>
                <w:szCs w:val="18"/>
              </w:rPr>
              <w:t>扣除非经常性损益后归属于公司普通股股东的净利润</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1.94%</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0.11</w:t>
            </w:r>
          </w:p>
        </w:tc>
        <w:tc>
          <w:tcPr>
            <w:tcW w:w="2410" w:type="dxa"/>
            <w:tcBorders>
              <w:top w:val="single" w:sz="2" w:space="0" w:color="auto"/>
              <w:left w:val="single" w:sz="2" w:space="0" w:color="auto"/>
              <w:bottom w:val="single" w:sz="2" w:space="0" w:color="auto"/>
              <w:right w:val="single" w:sz="2" w:space="0" w:color="auto"/>
            </w:tcBorders>
            <w:vAlign w:val="center"/>
          </w:tcPr>
          <w:p w:rsidR="00F068AD" w:rsidRDefault="00CB63CD">
            <w:pPr>
              <w:spacing w:line="240" w:lineRule="exact"/>
              <w:jc w:val="right"/>
              <w:rPr>
                <w:rFonts w:ascii="宋体" w:eastAsia="宋体" w:hAnsi="宋体" w:cs="宋体"/>
                <w:sz w:val="18"/>
                <w:szCs w:val="18"/>
              </w:rPr>
            </w:pPr>
            <w:r>
              <w:rPr>
                <w:rFonts w:ascii="宋体" w:eastAsia="宋体" w:hAnsi="宋体" w:cs="宋体"/>
                <w:sz w:val="18"/>
                <w:szCs w:val="18"/>
              </w:rPr>
              <w:t>0.11</w:t>
            </w:r>
          </w:p>
        </w:tc>
      </w:tr>
    </w:tbl>
    <w:p w:rsidR="00F068AD" w:rsidRDefault="00CB63CD">
      <w:pPr>
        <w:pStyle w:val="3"/>
        <w:spacing w:line="280" w:lineRule="exact"/>
        <w:jc w:val="left"/>
        <w:rPr>
          <w:rFonts w:ascii="宋体" w:hAnsi="宋体" w:cs="宋体"/>
          <w:b/>
          <w:bCs/>
        </w:rPr>
      </w:pPr>
      <w:bookmarkStart w:id="326" w:name="_Toc989216"/>
      <w:r>
        <w:rPr>
          <w:rFonts w:ascii="宋体" w:hAnsi="宋体" w:cs="宋体"/>
          <w:b/>
          <w:bCs/>
        </w:rPr>
        <w:t>3、境内外会计准则下会计数据差异</w:t>
      </w:r>
      <w:bookmarkEnd w:id="326"/>
    </w:p>
    <w:p w:rsidR="00F068AD" w:rsidRDefault="00CB63CD">
      <w:pPr>
        <w:keepNext/>
        <w:keepLines/>
        <w:spacing w:before="300" w:after="300" w:line="280" w:lineRule="exact"/>
        <w:outlineLvl w:val="3"/>
        <w:rPr>
          <w:rFonts w:ascii="宋体" w:eastAsia="宋体" w:hAnsi="宋体" w:cs="宋体"/>
          <w:b/>
          <w:bCs/>
          <w:szCs w:val="21"/>
        </w:rPr>
      </w:pPr>
      <w:bookmarkStart w:id="327" w:name="_Toc989217"/>
      <w:r>
        <w:rPr>
          <w:rFonts w:ascii="宋体" w:eastAsia="宋体" w:hAnsi="宋体" w:cs="宋体"/>
          <w:b/>
          <w:bCs/>
          <w:szCs w:val="21"/>
        </w:rPr>
        <w:t>（1） 同时按照国际会计准则与按中国会计准则披露的财务报告中净利润和净资产差异情况</w:t>
      </w:r>
      <w:bookmarkEnd w:id="327"/>
    </w:p>
    <w:p w:rsidR="00F068AD" w:rsidRDefault="00CB63CD">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068AD" w:rsidRDefault="00CB63CD">
      <w:pPr>
        <w:keepNext/>
        <w:keepLines/>
        <w:spacing w:before="300" w:after="300" w:line="280" w:lineRule="exact"/>
        <w:outlineLvl w:val="3"/>
        <w:rPr>
          <w:rFonts w:ascii="宋体" w:eastAsia="宋体" w:hAnsi="宋体" w:cs="宋体"/>
          <w:b/>
          <w:bCs/>
          <w:szCs w:val="21"/>
        </w:rPr>
      </w:pPr>
      <w:bookmarkStart w:id="328" w:name="_Toc989218"/>
      <w:r>
        <w:rPr>
          <w:rFonts w:ascii="宋体" w:eastAsia="宋体" w:hAnsi="宋体" w:cs="宋体"/>
          <w:b/>
          <w:bCs/>
          <w:szCs w:val="21"/>
        </w:rPr>
        <w:lastRenderedPageBreak/>
        <w:t>（2） 同时按照境外会计准则与按中国会计准则披露的财务报告中净利润和净资产差异情况</w:t>
      </w:r>
      <w:bookmarkEnd w:id="328"/>
    </w:p>
    <w:p w:rsidR="00F068AD" w:rsidRDefault="00CB63CD">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563DE" w:rsidRDefault="00D563DE">
      <w:pPr>
        <w:spacing w:line="240" w:lineRule="exact"/>
        <w:rPr>
          <w:rFonts w:ascii="宋体" w:eastAsia="宋体" w:hAnsi="宋体" w:cs="宋体"/>
          <w:sz w:val="18"/>
          <w:szCs w:val="18"/>
        </w:rPr>
      </w:pPr>
    </w:p>
    <w:p w:rsidR="00D563DE" w:rsidRDefault="00D563DE">
      <w:pPr>
        <w:spacing w:line="240" w:lineRule="exact"/>
        <w:rPr>
          <w:rFonts w:ascii="宋体" w:eastAsia="宋体" w:hAnsi="宋体" w:cs="宋体"/>
          <w:sz w:val="18"/>
          <w:szCs w:val="18"/>
        </w:rPr>
      </w:pPr>
    </w:p>
    <w:p w:rsidR="00D563DE" w:rsidRDefault="00D563DE">
      <w:pPr>
        <w:spacing w:line="240" w:lineRule="exact"/>
        <w:rPr>
          <w:rFonts w:ascii="宋体" w:eastAsia="宋体" w:hAnsi="宋体" w:cs="宋体"/>
          <w:sz w:val="18"/>
          <w:szCs w:val="18"/>
        </w:rPr>
      </w:pPr>
    </w:p>
    <w:p w:rsidR="00D563DE" w:rsidRDefault="00D563DE">
      <w:pPr>
        <w:spacing w:line="240" w:lineRule="exact"/>
        <w:rPr>
          <w:rFonts w:ascii="宋体" w:eastAsia="宋体" w:hAnsi="宋体" w:cs="宋体"/>
          <w:sz w:val="18"/>
          <w:szCs w:val="18"/>
        </w:rPr>
      </w:pPr>
    </w:p>
    <w:p w:rsidR="00D563DE" w:rsidRDefault="00D563DE">
      <w:pPr>
        <w:spacing w:line="240" w:lineRule="exact"/>
        <w:rPr>
          <w:rFonts w:ascii="宋体" w:eastAsia="宋体" w:hAnsi="宋体" w:cs="宋体"/>
          <w:sz w:val="18"/>
          <w:szCs w:val="18"/>
        </w:rPr>
      </w:pPr>
    </w:p>
    <w:p w:rsidR="00D563DE" w:rsidRDefault="00D563DE">
      <w:pPr>
        <w:spacing w:line="240" w:lineRule="exact"/>
        <w:rPr>
          <w:rFonts w:ascii="宋体" w:eastAsia="宋体" w:hAnsi="宋体" w:cs="宋体"/>
          <w:sz w:val="18"/>
          <w:szCs w:val="18"/>
        </w:rPr>
      </w:pPr>
    </w:p>
    <w:p w:rsidR="00D563DE" w:rsidRDefault="00D563DE">
      <w:pPr>
        <w:spacing w:line="240" w:lineRule="exact"/>
        <w:rPr>
          <w:rFonts w:ascii="宋体" w:eastAsia="宋体" w:hAnsi="宋体" w:cs="宋体"/>
          <w:sz w:val="18"/>
          <w:szCs w:val="18"/>
        </w:rPr>
      </w:pPr>
    </w:p>
    <w:p w:rsidR="00D563DE" w:rsidRDefault="00D563DE">
      <w:pPr>
        <w:spacing w:line="240" w:lineRule="exact"/>
        <w:rPr>
          <w:rFonts w:ascii="宋体" w:eastAsia="宋体" w:hAnsi="宋体" w:cs="宋体"/>
          <w:sz w:val="18"/>
          <w:szCs w:val="18"/>
        </w:rPr>
      </w:pPr>
    </w:p>
    <w:p w:rsidR="00D563DE" w:rsidRDefault="00D563DE">
      <w:pPr>
        <w:spacing w:line="240" w:lineRule="exact"/>
        <w:rPr>
          <w:rFonts w:ascii="宋体" w:eastAsia="宋体" w:hAnsi="宋体" w:cs="宋体"/>
          <w:sz w:val="18"/>
          <w:szCs w:val="18"/>
        </w:rPr>
      </w:pPr>
    </w:p>
    <w:p w:rsidR="00D563DE" w:rsidRDefault="00D563DE">
      <w:pPr>
        <w:spacing w:line="240" w:lineRule="exact"/>
        <w:rPr>
          <w:rFonts w:ascii="宋体" w:eastAsia="宋体" w:hAnsi="宋体" w:cs="宋体"/>
          <w:sz w:val="18"/>
          <w:szCs w:val="18"/>
        </w:rPr>
      </w:pPr>
    </w:p>
    <w:p w:rsidR="00D563DE" w:rsidRPr="000E387A" w:rsidRDefault="00D563DE" w:rsidP="00D563DE">
      <w:pPr>
        <w:pStyle w:val="a3"/>
        <w:spacing w:before="40" w:beforeAutospacing="0" w:after="40" w:afterAutospacing="0"/>
        <w:ind w:firstLineChars="3000" w:firstLine="5400"/>
        <w:jc w:val="both"/>
        <w:rPr>
          <w:rFonts w:cs="Times New Roman"/>
          <w:sz w:val="18"/>
          <w:szCs w:val="18"/>
        </w:rPr>
      </w:pPr>
      <w:r w:rsidRPr="000E387A">
        <w:rPr>
          <w:rFonts w:cs="Times New Roman" w:hint="eastAsia"/>
          <w:sz w:val="18"/>
          <w:szCs w:val="18"/>
        </w:rPr>
        <w:t>江苏华西村股份有限公司董事会</w:t>
      </w:r>
    </w:p>
    <w:p w:rsidR="00D563DE" w:rsidRPr="000E387A" w:rsidRDefault="00D563DE" w:rsidP="00D563DE">
      <w:pPr>
        <w:pStyle w:val="a3"/>
        <w:spacing w:before="40" w:beforeAutospacing="0" w:after="40" w:afterAutospacing="0"/>
        <w:ind w:firstLine="360"/>
        <w:jc w:val="both"/>
        <w:rPr>
          <w:rFonts w:cs="Times New Roman"/>
          <w:sz w:val="18"/>
          <w:szCs w:val="18"/>
        </w:rPr>
      </w:pPr>
    </w:p>
    <w:p w:rsidR="00D563DE" w:rsidRPr="000E387A" w:rsidRDefault="00D563DE" w:rsidP="00D563DE">
      <w:pPr>
        <w:pStyle w:val="a3"/>
        <w:spacing w:before="40" w:beforeAutospacing="0" w:after="40" w:afterAutospacing="0"/>
        <w:ind w:firstLine="360"/>
        <w:jc w:val="both"/>
        <w:rPr>
          <w:rFonts w:cs="Times New Roman"/>
          <w:sz w:val="18"/>
          <w:szCs w:val="18"/>
        </w:rPr>
      </w:pPr>
      <w:r w:rsidRPr="000E387A">
        <w:rPr>
          <w:rFonts w:cs="Times New Roman" w:hint="eastAsia"/>
          <w:sz w:val="18"/>
          <w:szCs w:val="18"/>
        </w:rPr>
        <w:t xml:space="preserve">                                                              董事长：吴协恩</w:t>
      </w:r>
    </w:p>
    <w:p w:rsidR="00D563DE" w:rsidRPr="000E387A" w:rsidRDefault="00D563DE" w:rsidP="00D563DE">
      <w:pPr>
        <w:pStyle w:val="a3"/>
        <w:spacing w:before="40" w:beforeAutospacing="0" w:after="40" w:afterAutospacing="0"/>
        <w:ind w:firstLine="360"/>
        <w:jc w:val="both"/>
        <w:rPr>
          <w:rFonts w:cs="Times New Roman"/>
          <w:sz w:val="18"/>
          <w:szCs w:val="18"/>
        </w:rPr>
      </w:pPr>
    </w:p>
    <w:p w:rsidR="00D563DE" w:rsidRPr="000E387A" w:rsidRDefault="00D563DE" w:rsidP="00D563DE">
      <w:pPr>
        <w:pStyle w:val="a3"/>
        <w:spacing w:before="40" w:beforeAutospacing="0" w:after="40" w:afterAutospacing="0"/>
        <w:ind w:firstLine="360"/>
        <w:jc w:val="both"/>
        <w:rPr>
          <w:rFonts w:cs="Times New Roman"/>
          <w:sz w:val="18"/>
          <w:szCs w:val="18"/>
        </w:rPr>
      </w:pPr>
      <w:r w:rsidRPr="000E387A">
        <w:rPr>
          <w:rFonts w:cs="Times New Roman" w:hint="eastAsia"/>
          <w:sz w:val="18"/>
          <w:szCs w:val="18"/>
        </w:rPr>
        <w:t xml:space="preserve">                                  </w:t>
      </w:r>
      <w:r>
        <w:rPr>
          <w:rFonts w:cs="Times New Roman" w:hint="eastAsia"/>
          <w:sz w:val="18"/>
          <w:szCs w:val="18"/>
        </w:rPr>
        <w:t xml:space="preserve">                            2022</w:t>
      </w:r>
      <w:r w:rsidRPr="000E387A">
        <w:rPr>
          <w:rFonts w:cs="Times New Roman" w:hint="eastAsia"/>
          <w:sz w:val="18"/>
          <w:szCs w:val="18"/>
        </w:rPr>
        <w:t>年8月</w:t>
      </w:r>
      <w:r>
        <w:rPr>
          <w:rFonts w:cs="Times New Roman" w:hint="eastAsia"/>
          <w:sz w:val="18"/>
          <w:szCs w:val="18"/>
        </w:rPr>
        <w:t>24</w:t>
      </w:r>
      <w:r w:rsidRPr="000E387A">
        <w:rPr>
          <w:rFonts w:cs="Times New Roman" w:hint="eastAsia"/>
          <w:sz w:val="18"/>
          <w:szCs w:val="18"/>
        </w:rPr>
        <w:t>日</w:t>
      </w:r>
    </w:p>
    <w:p w:rsidR="00D563DE" w:rsidRDefault="00D563DE">
      <w:pPr>
        <w:spacing w:line="240" w:lineRule="exact"/>
        <w:rPr>
          <w:rFonts w:ascii="宋体" w:eastAsia="宋体" w:hAnsi="宋体" w:cs="宋体"/>
          <w:sz w:val="18"/>
          <w:szCs w:val="18"/>
        </w:rPr>
      </w:pPr>
    </w:p>
    <w:sectPr w:rsidR="00D563DE">
      <w:headerReference w:type="default" r:id="rId10"/>
      <w:footerReference w:type="default" r:id="rId11"/>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42F" w:rsidRDefault="00E7542F">
      <w:r>
        <w:separator/>
      </w:r>
    </w:p>
  </w:endnote>
  <w:endnote w:type="continuationSeparator" w:id="0">
    <w:p w:rsidR="00E7542F" w:rsidRDefault="00E7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396" w:rsidRDefault="00AA3396" w:rsidP="00CB63CD">
    <w:pPr>
      <w:pStyle w:val="fotter1"/>
      <w:jc w:val="center"/>
    </w:pPr>
    <w:r>
      <w:fldChar w:fldCharType="begin"/>
    </w:r>
    <w:r>
      <w:instrText>PAGE   \* MERGEFORMAT</w:instrText>
    </w:r>
    <w:r>
      <w:fldChar w:fldCharType="separate"/>
    </w:r>
    <w:r w:rsidR="00B23394">
      <w:rPr>
        <w:noProof/>
      </w:rPr>
      <w:t>116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42F" w:rsidRDefault="00E7542F">
      <w:r>
        <w:separator/>
      </w:r>
    </w:p>
  </w:footnote>
  <w:footnote w:type="continuationSeparator" w:id="0">
    <w:p w:rsidR="00E7542F" w:rsidRDefault="00E75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396" w:rsidRDefault="00AA3396">
    <w:pPr>
      <w:pStyle w:val="Header1"/>
      <w:pBdr>
        <w:bottom w:val="single" w:sz="6" w:space="1" w:color="auto"/>
      </w:pBdr>
    </w:pPr>
    <w:r>
      <w:t>江苏华西村股份有限公司2022年半年度报告全文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413"/>
    <w:multiLevelType w:val="hybridMultilevel"/>
    <w:tmpl w:val="FC98E210"/>
    <w:lvl w:ilvl="0" w:tplc="990283E8">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7A3F2133"/>
    <w:multiLevelType w:val="multilevel"/>
    <w:tmpl w:val="D96C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068AD"/>
    <w:rsid w:val="0002119E"/>
    <w:rsid w:val="00033AF2"/>
    <w:rsid w:val="000C0A64"/>
    <w:rsid w:val="000C2241"/>
    <w:rsid w:val="000C4EFD"/>
    <w:rsid w:val="000D4E04"/>
    <w:rsid w:val="0013323A"/>
    <w:rsid w:val="001B45CF"/>
    <w:rsid w:val="001C7791"/>
    <w:rsid w:val="002107A8"/>
    <w:rsid w:val="0021611F"/>
    <w:rsid w:val="00254313"/>
    <w:rsid w:val="0028314F"/>
    <w:rsid w:val="002A382D"/>
    <w:rsid w:val="00303719"/>
    <w:rsid w:val="00321E14"/>
    <w:rsid w:val="00326098"/>
    <w:rsid w:val="00380F15"/>
    <w:rsid w:val="00390983"/>
    <w:rsid w:val="003A6255"/>
    <w:rsid w:val="003D4D5B"/>
    <w:rsid w:val="00476D8B"/>
    <w:rsid w:val="004A47C6"/>
    <w:rsid w:val="004B593E"/>
    <w:rsid w:val="004E7CC3"/>
    <w:rsid w:val="005D53A3"/>
    <w:rsid w:val="005F51C0"/>
    <w:rsid w:val="00640995"/>
    <w:rsid w:val="0065280B"/>
    <w:rsid w:val="006E3165"/>
    <w:rsid w:val="006F35D3"/>
    <w:rsid w:val="00737FEF"/>
    <w:rsid w:val="00773759"/>
    <w:rsid w:val="007B102E"/>
    <w:rsid w:val="007C25B2"/>
    <w:rsid w:val="007F01A4"/>
    <w:rsid w:val="0082499F"/>
    <w:rsid w:val="00847CB7"/>
    <w:rsid w:val="0085687D"/>
    <w:rsid w:val="0089503B"/>
    <w:rsid w:val="00920C45"/>
    <w:rsid w:val="009426A4"/>
    <w:rsid w:val="00980A52"/>
    <w:rsid w:val="0099269E"/>
    <w:rsid w:val="00A04F01"/>
    <w:rsid w:val="00A64DD4"/>
    <w:rsid w:val="00A71473"/>
    <w:rsid w:val="00AA3396"/>
    <w:rsid w:val="00AB3D13"/>
    <w:rsid w:val="00B23394"/>
    <w:rsid w:val="00B239E8"/>
    <w:rsid w:val="00BD65B6"/>
    <w:rsid w:val="00BF2ECB"/>
    <w:rsid w:val="00C137CF"/>
    <w:rsid w:val="00C26852"/>
    <w:rsid w:val="00C5034C"/>
    <w:rsid w:val="00C627C2"/>
    <w:rsid w:val="00C82C75"/>
    <w:rsid w:val="00C87F3B"/>
    <w:rsid w:val="00C9693C"/>
    <w:rsid w:val="00CB17F6"/>
    <w:rsid w:val="00CB63CD"/>
    <w:rsid w:val="00D563DE"/>
    <w:rsid w:val="00E21EAD"/>
    <w:rsid w:val="00E30021"/>
    <w:rsid w:val="00E31DD0"/>
    <w:rsid w:val="00E6733F"/>
    <w:rsid w:val="00E7542F"/>
    <w:rsid w:val="00ED36E7"/>
    <w:rsid w:val="00F068AD"/>
    <w:rsid w:val="00FA2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pPr>
    <w:rPr>
      <w:rFonts w:ascii="宋体" w:eastAsia="宋体" w:hAnsi="宋体" w:cs="宋体"/>
      <w:kern w:val="0"/>
      <w:sz w:val="24"/>
      <w:szCs w:val="24"/>
    </w:rPr>
  </w:style>
  <w:style w:type="character" w:styleId="a4">
    <w:name w:val="Strong"/>
    <w:basedOn w:val="a0"/>
    <w:uiPriority w:val="22"/>
    <w:qFormat/>
    <w:rPr>
      <w:b/>
      <w:bCs/>
    </w:rPr>
  </w:style>
  <w:style w:type="paragraph" w:styleId="a5">
    <w:name w:val="Balloon Text"/>
    <w:basedOn w:val="a"/>
    <w:link w:val="Char"/>
    <w:uiPriority w:val="99"/>
    <w:semiHidden/>
    <w:unhideWhenUsed/>
    <w:rsid w:val="00CB63CD"/>
    <w:rPr>
      <w:sz w:val="18"/>
      <w:szCs w:val="18"/>
    </w:rPr>
  </w:style>
  <w:style w:type="character" w:customStyle="1" w:styleId="Char">
    <w:name w:val="批注框文本 Char"/>
    <w:basedOn w:val="a0"/>
    <w:link w:val="a5"/>
    <w:uiPriority w:val="99"/>
    <w:semiHidden/>
    <w:rsid w:val="00CB63CD"/>
    <w:rPr>
      <w:sz w:val="18"/>
      <w:szCs w:val="18"/>
    </w:rPr>
  </w:style>
  <w:style w:type="paragraph" w:styleId="a6">
    <w:name w:val="header"/>
    <w:basedOn w:val="a"/>
    <w:link w:val="Char0"/>
    <w:uiPriority w:val="99"/>
    <w:unhideWhenUsed/>
    <w:rsid w:val="00CB63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B63CD"/>
    <w:rPr>
      <w:sz w:val="18"/>
      <w:szCs w:val="18"/>
    </w:rPr>
  </w:style>
  <w:style w:type="paragraph" w:styleId="a7">
    <w:name w:val="footer"/>
    <w:basedOn w:val="a"/>
    <w:link w:val="Char1"/>
    <w:uiPriority w:val="99"/>
    <w:unhideWhenUsed/>
    <w:rsid w:val="00CB63CD"/>
    <w:pPr>
      <w:tabs>
        <w:tab w:val="center" w:pos="4153"/>
        <w:tab w:val="right" w:pos="8306"/>
      </w:tabs>
      <w:snapToGrid w:val="0"/>
    </w:pPr>
    <w:rPr>
      <w:sz w:val="18"/>
      <w:szCs w:val="18"/>
    </w:rPr>
  </w:style>
  <w:style w:type="character" w:customStyle="1" w:styleId="Char1">
    <w:name w:val="页脚 Char"/>
    <w:basedOn w:val="a0"/>
    <w:link w:val="a7"/>
    <w:uiPriority w:val="99"/>
    <w:rsid w:val="00CB63C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pPr>
    <w:rPr>
      <w:rFonts w:ascii="宋体" w:eastAsia="宋体" w:hAnsi="宋体" w:cs="宋体"/>
      <w:kern w:val="0"/>
      <w:sz w:val="24"/>
      <w:szCs w:val="24"/>
    </w:rPr>
  </w:style>
  <w:style w:type="character" w:styleId="a4">
    <w:name w:val="Strong"/>
    <w:basedOn w:val="a0"/>
    <w:uiPriority w:val="22"/>
    <w:qFormat/>
    <w:rPr>
      <w:b/>
      <w:bCs/>
    </w:rPr>
  </w:style>
  <w:style w:type="paragraph" w:styleId="a5">
    <w:name w:val="Balloon Text"/>
    <w:basedOn w:val="a"/>
    <w:link w:val="Char"/>
    <w:uiPriority w:val="99"/>
    <w:semiHidden/>
    <w:unhideWhenUsed/>
    <w:rsid w:val="00CB63CD"/>
    <w:rPr>
      <w:sz w:val="18"/>
      <w:szCs w:val="18"/>
    </w:rPr>
  </w:style>
  <w:style w:type="character" w:customStyle="1" w:styleId="Char">
    <w:name w:val="批注框文本 Char"/>
    <w:basedOn w:val="a0"/>
    <w:link w:val="a5"/>
    <w:uiPriority w:val="99"/>
    <w:semiHidden/>
    <w:rsid w:val="00CB63CD"/>
    <w:rPr>
      <w:sz w:val="18"/>
      <w:szCs w:val="18"/>
    </w:rPr>
  </w:style>
  <w:style w:type="paragraph" w:styleId="a6">
    <w:name w:val="header"/>
    <w:basedOn w:val="a"/>
    <w:link w:val="Char0"/>
    <w:uiPriority w:val="99"/>
    <w:unhideWhenUsed/>
    <w:rsid w:val="00CB63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B63CD"/>
    <w:rPr>
      <w:sz w:val="18"/>
      <w:szCs w:val="18"/>
    </w:rPr>
  </w:style>
  <w:style w:type="paragraph" w:styleId="a7">
    <w:name w:val="footer"/>
    <w:basedOn w:val="a"/>
    <w:link w:val="Char1"/>
    <w:uiPriority w:val="99"/>
    <w:unhideWhenUsed/>
    <w:rsid w:val="00CB63CD"/>
    <w:pPr>
      <w:tabs>
        <w:tab w:val="center" w:pos="4153"/>
        <w:tab w:val="right" w:pos="8306"/>
      </w:tabs>
      <w:snapToGrid w:val="0"/>
    </w:pPr>
    <w:rPr>
      <w:sz w:val="18"/>
      <w:szCs w:val="18"/>
    </w:rPr>
  </w:style>
  <w:style w:type="character" w:customStyle="1" w:styleId="Char1">
    <w:name w:val="页脚 Char"/>
    <w:basedOn w:val="a0"/>
    <w:link w:val="a7"/>
    <w:uiPriority w:val="99"/>
    <w:rsid w:val="00CB63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9271">
      <w:bodyDiv w:val="1"/>
      <w:marLeft w:val="0"/>
      <w:marRight w:val="0"/>
      <w:marTop w:val="0"/>
      <w:marBottom w:val="0"/>
      <w:divBdr>
        <w:top w:val="none" w:sz="0" w:space="0" w:color="auto"/>
        <w:left w:val="none" w:sz="0" w:space="0" w:color="auto"/>
        <w:bottom w:val="none" w:sz="0" w:space="0" w:color="auto"/>
        <w:right w:val="none" w:sz="0" w:space="0" w:color="auto"/>
      </w:divBdr>
    </w:div>
    <w:div w:id="17320979">
      <w:bodyDiv w:val="1"/>
      <w:marLeft w:val="0"/>
      <w:marRight w:val="0"/>
      <w:marTop w:val="0"/>
      <w:marBottom w:val="0"/>
      <w:divBdr>
        <w:top w:val="none" w:sz="0" w:space="0" w:color="auto"/>
        <w:left w:val="none" w:sz="0" w:space="0" w:color="auto"/>
        <w:bottom w:val="none" w:sz="0" w:space="0" w:color="auto"/>
        <w:right w:val="none" w:sz="0" w:space="0" w:color="auto"/>
      </w:divBdr>
    </w:div>
    <w:div w:id="71007971">
      <w:bodyDiv w:val="1"/>
      <w:marLeft w:val="0"/>
      <w:marRight w:val="0"/>
      <w:marTop w:val="0"/>
      <w:marBottom w:val="0"/>
      <w:divBdr>
        <w:top w:val="none" w:sz="0" w:space="0" w:color="auto"/>
        <w:left w:val="none" w:sz="0" w:space="0" w:color="auto"/>
        <w:bottom w:val="none" w:sz="0" w:space="0" w:color="auto"/>
        <w:right w:val="none" w:sz="0" w:space="0" w:color="auto"/>
      </w:divBdr>
    </w:div>
    <w:div w:id="71127030">
      <w:bodyDiv w:val="1"/>
      <w:marLeft w:val="0"/>
      <w:marRight w:val="0"/>
      <w:marTop w:val="0"/>
      <w:marBottom w:val="0"/>
      <w:divBdr>
        <w:top w:val="none" w:sz="0" w:space="0" w:color="auto"/>
        <w:left w:val="none" w:sz="0" w:space="0" w:color="auto"/>
        <w:bottom w:val="none" w:sz="0" w:space="0" w:color="auto"/>
        <w:right w:val="none" w:sz="0" w:space="0" w:color="auto"/>
      </w:divBdr>
    </w:div>
    <w:div w:id="75326737">
      <w:bodyDiv w:val="1"/>
      <w:marLeft w:val="0"/>
      <w:marRight w:val="0"/>
      <w:marTop w:val="0"/>
      <w:marBottom w:val="0"/>
      <w:divBdr>
        <w:top w:val="none" w:sz="0" w:space="0" w:color="auto"/>
        <w:left w:val="none" w:sz="0" w:space="0" w:color="auto"/>
        <w:bottom w:val="none" w:sz="0" w:space="0" w:color="auto"/>
        <w:right w:val="none" w:sz="0" w:space="0" w:color="auto"/>
      </w:divBdr>
    </w:div>
    <w:div w:id="95371278">
      <w:bodyDiv w:val="1"/>
      <w:marLeft w:val="0"/>
      <w:marRight w:val="0"/>
      <w:marTop w:val="0"/>
      <w:marBottom w:val="0"/>
      <w:divBdr>
        <w:top w:val="none" w:sz="0" w:space="0" w:color="auto"/>
        <w:left w:val="none" w:sz="0" w:space="0" w:color="auto"/>
        <w:bottom w:val="none" w:sz="0" w:space="0" w:color="auto"/>
        <w:right w:val="none" w:sz="0" w:space="0" w:color="auto"/>
      </w:divBdr>
    </w:div>
    <w:div w:id="102381216">
      <w:bodyDiv w:val="1"/>
      <w:marLeft w:val="0"/>
      <w:marRight w:val="0"/>
      <w:marTop w:val="0"/>
      <w:marBottom w:val="0"/>
      <w:divBdr>
        <w:top w:val="none" w:sz="0" w:space="0" w:color="auto"/>
        <w:left w:val="none" w:sz="0" w:space="0" w:color="auto"/>
        <w:bottom w:val="none" w:sz="0" w:space="0" w:color="auto"/>
        <w:right w:val="none" w:sz="0" w:space="0" w:color="auto"/>
      </w:divBdr>
    </w:div>
    <w:div w:id="140973134">
      <w:bodyDiv w:val="1"/>
      <w:marLeft w:val="0"/>
      <w:marRight w:val="0"/>
      <w:marTop w:val="0"/>
      <w:marBottom w:val="0"/>
      <w:divBdr>
        <w:top w:val="none" w:sz="0" w:space="0" w:color="auto"/>
        <w:left w:val="none" w:sz="0" w:space="0" w:color="auto"/>
        <w:bottom w:val="none" w:sz="0" w:space="0" w:color="auto"/>
        <w:right w:val="none" w:sz="0" w:space="0" w:color="auto"/>
      </w:divBdr>
    </w:div>
    <w:div w:id="142739547">
      <w:bodyDiv w:val="1"/>
      <w:marLeft w:val="0"/>
      <w:marRight w:val="0"/>
      <w:marTop w:val="0"/>
      <w:marBottom w:val="0"/>
      <w:divBdr>
        <w:top w:val="none" w:sz="0" w:space="0" w:color="auto"/>
        <w:left w:val="none" w:sz="0" w:space="0" w:color="auto"/>
        <w:bottom w:val="none" w:sz="0" w:space="0" w:color="auto"/>
        <w:right w:val="none" w:sz="0" w:space="0" w:color="auto"/>
      </w:divBdr>
    </w:div>
    <w:div w:id="148324492">
      <w:bodyDiv w:val="1"/>
      <w:marLeft w:val="0"/>
      <w:marRight w:val="0"/>
      <w:marTop w:val="0"/>
      <w:marBottom w:val="0"/>
      <w:divBdr>
        <w:top w:val="none" w:sz="0" w:space="0" w:color="auto"/>
        <w:left w:val="none" w:sz="0" w:space="0" w:color="auto"/>
        <w:bottom w:val="none" w:sz="0" w:space="0" w:color="auto"/>
        <w:right w:val="none" w:sz="0" w:space="0" w:color="auto"/>
      </w:divBdr>
    </w:div>
    <w:div w:id="157158209">
      <w:bodyDiv w:val="1"/>
      <w:marLeft w:val="0"/>
      <w:marRight w:val="0"/>
      <w:marTop w:val="0"/>
      <w:marBottom w:val="0"/>
      <w:divBdr>
        <w:top w:val="none" w:sz="0" w:space="0" w:color="auto"/>
        <w:left w:val="none" w:sz="0" w:space="0" w:color="auto"/>
        <w:bottom w:val="none" w:sz="0" w:space="0" w:color="auto"/>
        <w:right w:val="none" w:sz="0" w:space="0" w:color="auto"/>
      </w:divBdr>
    </w:div>
    <w:div w:id="165904344">
      <w:bodyDiv w:val="1"/>
      <w:marLeft w:val="0"/>
      <w:marRight w:val="0"/>
      <w:marTop w:val="0"/>
      <w:marBottom w:val="0"/>
      <w:divBdr>
        <w:top w:val="none" w:sz="0" w:space="0" w:color="auto"/>
        <w:left w:val="none" w:sz="0" w:space="0" w:color="auto"/>
        <w:bottom w:val="none" w:sz="0" w:space="0" w:color="auto"/>
        <w:right w:val="none" w:sz="0" w:space="0" w:color="auto"/>
      </w:divBdr>
    </w:div>
    <w:div w:id="179245246">
      <w:bodyDiv w:val="1"/>
      <w:marLeft w:val="0"/>
      <w:marRight w:val="0"/>
      <w:marTop w:val="0"/>
      <w:marBottom w:val="0"/>
      <w:divBdr>
        <w:top w:val="none" w:sz="0" w:space="0" w:color="auto"/>
        <w:left w:val="none" w:sz="0" w:space="0" w:color="auto"/>
        <w:bottom w:val="none" w:sz="0" w:space="0" w:color="auto"/>
        <w:right w:val="none" w:sz="0" w:space="0" w:color="auto"/>
      </w:divBdr>
    </w:div>
    <w:div w:id="192694873">
      <w:bodyDiv w:val="1"/>
      <w:marLeft w:val="0"/>
      <w:marRight w:val="0"/>
      <w:marTop w:val="0"/>
      <w:marBottom w:val="0"/>
      <w:divBdr>
        <w:top w:val="none" w:sz="0" w:space="0" w:color="auto"/>
        <w:left w:val="none" w:sz="0" w:space="0" w:color="auto"/>
        <w:bottom w:val="none" w:sz="0" w:space="0" w:color="auto"/>
        <w:right w:val="none" w:sz="0" w:space="0" w:color="auto"/>
      </w:divBdr>
    </w:div>
    <w:div w:id="220411610">
      <w:bodyDiv w:val="1"/>
      <w:marLeft w:val="0"/>
      <w:marRight w:val="0"/>
      <w:marTop w:val="0"/>
      <w:marBottom w:val="0"/>
      <w:divBdr>
        <w:top w:val="none" w:sz="0" w:space="0" w:color="auto"/>
        <w:left w:val="none" w:sz="0" w:space="0" w:color="auto"/>
        <w:bottom w:val="none" w:sz="0" w:space="0" w:color="auto"/>
        <w:right w:val="none" w:sz="0" w:space="0" w:color="auto"/>
      </w:divBdr>
    </w:div>
    <w:div w:id="227616407">
      <w:bodyDiv w:val="1"/>
      <w:marLeft w:val="0"/>
      <w:marRight w:val="0"/>
      <w:marTop w:val="0"/>
      <w:marBottom w:val="0"/>
      <w:divBdr>
        <w:top w:val="none" w:sz="0" w:space="0" w:color="auto"/>
        <w:left w:val="none" w:sz="0" w:space="0" w:color="auto"/>
        <w:bottom w:val="none" w:sz="0" w:space="0" w:color="auto"/>
        <w:right w:val="none" w:sz="0" w:space="0" w:color="auto"/>
      </w:divBdr>
    </w:div>
    <w:div w:id="233243089">
      <w:bodyDiv w:val="1"/>
      <w:marLeft w:val="0"/>
      <w:marRight w:val="0"/>
      <w:marTop w:val="0"/>
      <w:marBottom w:val="0"/>
      <w:divBdr>
        <w:top w:val="none" w:sz="0" w:space="0" w:color="auto"/>
        <w:left w:val="none" w:sz="0" w:space="0" w:color="auto"/>
        <w:bottom w:val="none" w:sz="0" w:space="0" w:color="auto"/>
        <w:right w:val="none" w:sz="0" w:space="0" w:color="auto"/>
      </w:divBdr>
    </w:div>
    <w:div w:id="240873163">
      <w:bodyDiv w:val="1"/>
      <w:marLeft w:val="0"/>
      <w:marRight w:val="0"/>
      <w:marTop w:val="0"/>
      <w:marBottom w:val="0"/>
      <w:divBdr>
        <w:top w:val="none" w:sz="0" w:space="0" w:color="auto"/>
        <w:left w:val="none" w:sz="0" w:space="0" w:color="auto"/>
        <w:bottom w:val="none" w:sz="0" w:space="0" w:color="auto"/>
        <w:right w:val="none" w:sz="0" w:space="0" w:color="auto"/>
      </w:divBdr>
    </w:div>
    <w:div w:id="251856892">
      <w:bodyDiv w:val="1"/>
      <w:marLeft w:val="0"/>
      <w:marRight w:val="0"/>
      <w:marTop w:val="0"/>
      <w:marBottom w:val="0"/>
      <w:divBdr>
        <w:top w:val="none" w:sz="0" w:space="0" w:color="auto"/>
        <w:left w:val="none" w:sz="0" w:space="0" w:color="auto"/>
        <w:bottom w:val="none" w:sz="0" w:space="0" w:color="auto"/>
        <w:right w:val="none" w:sz="0" w:space="0" w:color="auto"/>
      </w:divBdr>
    </w:div>
    <w:div w:id="260141708">
      <w:bodyDiv w:val="1"/>
      <w:marLeft w:val="0"/>
      <w:marRight w:val="0"/>
      <w:marTop w:val="0"/>
      <w:marBottom w:val="0"/>
      <w:divBdr>
        <w:top w:val="none" w:sz="0" w:space="0" w:color="auto"/>
        <w:left w:val="none" w:sz="0" w:space="0" w:color="auto"/>
        <w:bottom w:val="none" w:sz="0" w:space="0" w:color="auto"/>
        <w:right w:val="none" w:sz="0" w:space="0" w:color="auto"/>
      </w:divBdr>
    </w:div>
    <w:div w:id="270019391">
      <w:bodyDiv w:val="1"/>
      <w:marLeft w:val="0"/>
      <w:marRight w:val="0"/>
      <w:marTop w:val="0"/>
      <w:marBottom w:val="0"/>
      <w:divBdr>
        <w:top w:val="none" w:sz="0" w:space="0" w:color="auto"/>
        <w:left w:val="none" w:sz="0" w:space="0" w:color="auto"/>
        <w:bottom w:val="none" w:sz="0" w:space="0" w:color="auto"/>
        <w:right w:val="none" w:sz="0" w:space="0" w:color="auto"/>
      </w:divBdr>
    </w:div>
    <w:div w:id="271548098">
      <w:bodyDiv w:val="1"/>
      <w:marLeft w:val="0"/>
      <w:marRight w:val="0"/>
      <w:marTop w:val="0"/>
      <w:marBottom w:val="0"/>
      <w:divBdr>
        <w:top w:val="none" w:sz="0" w:space="0" w:color="auto"/>
        <w:left w:val="none" w:sz="0" w:space="0" w:color="auto"/>
        <w:bottom w:val="none" w:sz="0" w:space="0" w:color="auto"/>
        <w:right w:val="none" w:sz="0" w:space="0" w:color="auto"/>
      </w:divBdr>
    </w:div>
    <w:div w:id="277643241">
      <w:bodyDiv w:val="1"/>
      <w:marLeft w:val="0"/>
      <w:marRight w:val="0"/>
      <w:marTop w:val="0"/>
      <w:marBottom w:val="0"/>
      <w:divBdr>
        <w:top w:val="none" w:sz="0" w:space="0" w:color="auto"/>
        <w:left w:val="none" w:sz="0" w:space="0" w:color="auto"/>
        <w:bottom w:val="none" w:sz="0" w:space="0" w:color="auto"/>
        <w:right w:val="none" w:sz="0" w:space="0" w:color="auto"/>
      </w:divBdr>
    </w:div>
    <w:div w:id="299194357">
      <w:bodyDiv w:val="1"/>
      <w:marLeft w:val="0"/>
      <w:marRight w:val="0"/>
      <w:marTop w:val="0"/>
      <w:marBottom w:val="0"/>
      <w:divBdr>
        <w:top w:val="none" w:sz="0" w:space="0" w:color="auto"/>
        <w:left w:val="none" w:sz="0" w:space="0" w:color="auto"/>
        <w:bottom w:val="none" w:sz="0" w:space="0" w:color="auto"/>
        <w:right w:val="none" w:sz="0" w:space="0" w:color="auto"/>
      </w:divBdr>
    </w:div>
    <w:div w:id="300572371">
      <w:bodyDiv w:val="1"/>
      <w:marLeft w:val="0"/>
      <w:marRight w:val="0"/>
      <w:marTop w:val="0"/>
      <w:marBottom w:val="0"/>
      <w:divBdr>
        <w:top w:val="none" w:sz="0" w:space="0" w:color="auto"/>
        <w:left w:val="none" w:sz="0" w:space="0" w:color="auto"/>
        <w:bottom w:val="none" w:sz="0" w:space="0" w:color="auto"/>
        <w:right w:val="none" w:sz="0" w:space="0" w:color="auto"/>
      </w:divBdr>
    </w:div>
    <w:div w:id="302733231">
      <w:bodyDiv w:val="1"/>
      <w:marLeft w:val="0"/>
      <w:marRight w:val="0"/>
      <w:marTop w:val="0"/>
      <w:marBottom w:val="0"/>
      <w:divBdr>
        <w:top w:val="none" w:sz="0" w:space="0" w:color="auto"/>
        <w:left w:val="none" w:sz="0" w:space="0" w:color="auto"/>
        <w:bottom w:val="none" w:sz="0" w:space="0" w:color="auto"/>
        <w:right w:val="none" w:sz="0" w:space="0" w:color="auto"/>
      </w:divBdr>
    </w:div>
    <w:div w:id="321472403">
      <w:bodyDiv w:val="1"/>
      <w:marLeft w:val="0"/>
      <w:marRight w:val="0"/>
      <w:marTop w:val="0"/>
      <w:marBottom w:val="0"/>
      <w:divBdr>
        <w:top w:val="none" w:sz="0" w:space="0" w:color="auto"/>
        <w:left w:val="none" w:sz="0" w:space="0" w:color="auto"/>
        <w:bottom w:val="none" w:sz="0" w:space="0" w:color="auto"/>
        <w:right w:val="none" w:sz="0" w:space="0" w:color="auto"/>
      </w:divBdr>
    </w:div>
    <w:div w:id="329263194">
      <w:bodyDiv w:val="1"/>
      <w:marLeft w:val="0"/>
      <w:marRight w:val="0"/>
      <w:marTop w:val="0"/>
      <w:marBottom w:val="0"/>
      <w:divBdr>
        <w:top w:val="none" w:sz="0" w:space="0" w:color="auto"/>
        <w:left w:val="none" w:sz="0" w:space="0" w:color="auto"/>
        <w:bottom w:val="none" w:sz="0" w:space="0" w:color="auto"/>
        <w:right w:val="none" w:sz="0" w:space="0" w:color="auto"/>
      </w:divBdr>
    </w:div>
    <w:div w:id="344064230">
      <w:bodyDiv w:val="1"/>
      <w:marLeft w:val="0"/>
      <w:marRight w:val="0"/>
      <w:marTop w:val="0"/>
      <w:marBottom w:val="0"/>
      <w:divBdr>
        <w:top w:val="none" w:sz="0" w:space="0" w:color="auto"/>
        <w:left w:val="none" w:sz="0" w:space="0" w:color="auto"/>
        <w:bottom w:val="none" w:sz="0" w:space="0" w:color="auto"/>
        <w:right w:val="none" w:sz="0" w:space="0" w:color="auto"/>
      </w:divBdr>
    </w:div>
    <w:div w:id="368456673">
      <w:bodyDiv w:val="1"/>
      <w:marLeft w:val="0"/>
      <w:marRight w:val="0"/>
      <w:marTop w:val="0"/>
      <w:marBottom w:val="0"/>
      <w:divBdr>
        <w:top w:val="none" w:sz="0" w:space="0" w:color="auto"/>
        <w:left w:val="none" w:sz="0" w:space="0" w:color="auto"/>
        <w:bottom w:val="none" w:sz="0" w:space="0" w:color="auto"/>
        <w:right w:val="none" w:sz="0" w:space="0" w:color="auto"/>
      </w:divBdr>
    </w:div>
    <w:div w:id="399790939">
      <w:bodyDiv w:val="1"/>
      <w:marLeft w:val="0"/>
      <w:marRight w:val="0"/>
      <w:marTop w:val="0"/>
      <w:marBottom w:val="0"/>
      <w:divBdr>
        <w:top w:val="none" w:sz="0" w:space="0" w:color="auto"/>
        <w:left w:val="none" w:sz="0" w:space="0" w:color="auto"/>
        <w:bottom w:val="none" w:sz="0" w:space="0" w:color="auto"/>
        <w:right w:val="none" w:sz="0" w:space="0" w:color="auto"/>
      </w:divBdr>
    </w:div>
    <w:div w:id="402336418">
      <w:bodyDiv w:val="1"/>
      <w:marLeft w:val="0"/>
      <w:marRight w:val="0"/>
      <w:marTop w:val="0"/>
      <w:marBottom w:val="0"/>
      <w:divBdr>
        <w:top w:val="none" w:sz="0" w:space="0" w:color="auto"/>
        <w:left w:val="none" w:sz="0" w:space="0" w:color="auto"/>
        <w:bottom w:val="none" w:sz="0" w:space="0" w:color="auto"/>
        <w:right w:val="none" w:sz="0" w:space="0" w:color="auto"/>
      </w:divBdr>
    </w:div>
    <w:div w:id="423040539">
      <w:bodyDiv w:val="1"/>
      <w:marLeft w:val="0"/>
      <w:marRight w:val="0"/>
      <w:marTop w:val="0"/>
      <w:marBottom w:val="0"/>
      <w:divBdr>
        <w:top w:val="none" w:sz="0" w:space="0" w:color="auto"/>
        <w:left w:val="none" w:sz="0" w:space="0" w:color="auto"/>
        <w:bottom w:val="none" w:sz="0" w:space="0" w:color="auto"/>
        <w:right w:val="none" w:sz="0" w:space="0" w:color="auto"/>
      </w:divBdr>
    </w:div>
    <w:div w:id="424806043">
      <w:bodyDiv w:val="1"/>
      <w:marLeft w:val="0"/>
      <w:marRight w:val="0"/>
      <w:marTop w:val="0"/>
      <w:marBottom w:val="0"/>
      <w:divBdr>
        <w:top w:val="none" w:sz="0" w:space="0" w:color="auto"/>
        <w:left w:val="none" w:sz="0" w:space="0" w:color="auto"/>
        <w:bottom w:val="none" w:sz="0" w:space="0" w:color="auto"/>
        <w:right w:val="none" w:sz="0" w:space="0" w:color="auto"/>
      </w:divBdr>
    </w:div>
    <w:div w:id="449932641">
      <w:bodyDiv w:val="1"/>
      <w:marLeft w:val="0"/>
      <w:marRight w:val="0"/>
      <w:marTop w:val="0"/>
      <w:marBottom w:val="0"/>
      <w:divBdr>
        <w:top w:val="none" w:sz="0" w:space="0" w:color="auto"/>
        <w:left w:val="none" w:sz="0" w:space="0" w:color="auto"/>
        <w:bottom w:val="none" w:sz="0" w:space="0" w:color="auto"/>
        <w:right w:val="none" w:sz="0" w:space="0" w:color="auto"/>
      </w:divBdr>
    </w:div>
    <w:div w:id="463667906">
      <w:bodyDiv w:val="1"/>
      <w:marLeft w:val="0"/>
      <w:marRight w:val="0"/>
      <w:marTop w:val="0"/>
      <w:marBottom w:val="0"/>
      <w:divBdr>
        <w:top w:val="none" w:sz="0" w:space="0" w:color="auto"/>
        <w:left w:val="none" w:sz="0" w:space="0" w:color="auto"/>
        <w:bottom w:val="none" w:sz="0" w:space="0" w:color="auto"/>
        <w:right w:val="none" w:sz="0" w:space="0" w:color="auto"/>
      </w:divBdr>
    </w:div>
    <w:div w:id="477453518">
      <w:bodyDiv w:val="1"/>
      <w:marLeft w:val="0"/>
      <w:marRight w:val="0"/>
      <w:marTop w:val="0"/>
      <w:marBottom w:val="0"/>
      <w:divBdr>
        <w:top w:val="none" w:sz="0" w:space="0" w:color="auto"/>
        <w:left w:val="none" w:sz="0" w:space="0" w:color="auto"/>
        <w:bottom w:val="none" w:sz="0" w:space="0" w:color="auto"/>
        <w:right w:val="none" w:sz="0" w:space="0" w:color="auto"/>
      </w:divBdr>
    </w:div>
    <w:div w:id="478152921">
      <w:bodyDiv w:val="1"/>
      <w:marLeft w:val="0"/>
      <w:marRight w:val="0"/>
      <w:marTop w:val="0"/>
      <w:marBottom w:val="0"/>
      <w:divBdr>
        <w:top w:val="none" w:sz="0" w:space="0" w:color="auto"/>
        <w:left w:val="none" w:sz="0" w:space="0" w:color="auto"/>
        <w:bottom w:val="none" w:sz="0" w:space="0" w:color="auto"/>
        <w:right w:val="none" w:sz="0" w:space="0" w:color="auto"/>
      </w:divBdr>
    </w:div>
    <w:div w:id="501239570">
      <w:bodyDiv w:val="1"/>
      <w:marLeft w:val="0"/>
      <w:marRight w:val="0"/>
      <w:marTop w:val="0"/>
      <w:marBottom w:val="0"/>
      <w:divBdr>
        <w:top w:val="none" w:sz="0" w:space="0" w:color="auto"/>
        <w:left w:val="none" w:sz="0" w:space="0" w:color="auto"/>
        <w:bottom w:val="none" w:sz="0" w:space="0" w:color="auto"/>
        <w:right w:val="none" w:sz="0" w:space="0" w:color="auto"/>
      </w:divBdr>
    </w:div>
    <w:div w:id="501706154">
      <w:bodyDiv w:val="1"/>
      <w:marLeft w:val="0"/>
      <w:marRight w:val="0"/>
      <w:marTop w:val="0"/>
      <w:marBottom w:val="0"/>
      <w:divBdr>
        <w:top w:val="none" w:sz="0" w:space="0" w:color="auto"/>
        <w:left w:val="none" w:sz="0" w:space="0" w:color="auto"/>
        <w:bottom w:val="none" w:sz="0" w:space="0" w:color="auto"/>
        <w:right w:val="none" w:sz="0" w:space="0" w:color="auto"/>
      </w:divBdr>
    </w:div>
    <w:div w:id="513962842">
      <w:bodyDiv w:val="1"/>
      <w:marLeft w:val="0"/>
      <w:marRight w:val="0"/>
      <w:marTop w:val="0"/>
      <w:marBottom w:val="0"/>
      <w:divBdr>
        <w:top w:val="none" w:sz="0" w:space="0" w:color="auto"/>
        <w:left w:val="none" w:sz="0" w:space="0" w:color="auto"/>
        <w:bottom w:val="none" w:sz="0" w:space="0" w:color="auto"/>
        <w:right w:val="none" w:sz="0" w:space="0" w:color="auto"/>
      </w:divBdr>
    </w:div>
    <w:div w:id="514462607">
      <w:bodyDiv w:val="1"/>
      <w:marLeft w:val="0"/>
      <w:marRight w:val="0"/>
      <w:marTop w:val="0"/>
      <w:marBottom w:val="0"/>
      <w:divBdr>
        <w:top w:val="none" w:sz="0" w:space="0" w:color="auto"/>
        <w:left w:val="none" w:sz="0" w:space="0" w:color="auto"/>
        <w:bottom w:val="none" w:sz="0" w:space="0" w:color="auto"/>
        <w:right w:val="none" w:sz="0" w:space="0" w:color="auto"/>
      </w:divBdr>
    </w:div>
    <w:div w:id="519323164">
      <w:bodyDiv w:val="1"/>
      <w:marLeft w:val="0"/>
      <w:marRight w:val="0"/>
      <w:marTop w:val="0"/>
      <w:marBottom w:val="0"/>
      <w:divBdr>
        <w:top w:val="none" w:sz="0" w:space="0" w:color="auto"/>
        <w:left w:val="none" w:sz="0" w:space="0" w:color="auto"/>
        <w:bottom w:val="none" w:sz="0" w:space="0" w:color="auto"/>
        <w:right w:val="none" w:sz="0" w:space="0" w:color="auto"/>
      </w:divBdr>
    </w:div>
    <w:div w:id="544685794">
      <w:bodyDiv w:val="1"/>
      <w:marLeft w:val="0"/>
      <w:marRight w:val="0"/>
      <w:marTop w:val="0"/>
      <w:marBottom w:val="0"/>
      <w:divBdr>
        <w:top w:val="none" w:sz="0" w:space="0" w:color="auto"/>
        <w:left w:val="none" w:sz="0" w:space="0" w:color="auto"/>
        <w:bottom w:val="none" w:sz="0" w:space="0" w:color="auto"/>
        <w:right w:val="none" w:sz="0" w:space="0" w:color="auto"/>
      </w:divBdr>
    </w:div>
    <w:div w:id="553123879">
      <w:bodyDiv w:val="1"/>
      <w:marLeft w:val="0"/>
      <w:marRight w:val="0"/>
      <w:marTop w:val="0"/>
      <w:marBottom w:val="0"/>
      <w:divBdr>
        <w:top w:val="none" w:sz="0" w:space="0" w:color="auto"/>
        <w:left w:val="none" w:sz="0" w:space="0" w:color="auto"/>
        <w:bottom w:val="none" w:sz="0" w:space="0" w:color="auto"/>
        <w:right w:val="none" w:sz="0" w:space="0" w:color="auto"/>
      </w:divBdr>
    </w:div>
    <w:div w:id="570118205">
      <w:bodyDiv w:val="1"/>
      <w:marLeft w:val="0"/>
      <w:marRight w:val="0"/>
      <w:marTop w:val="0"/>
      <w:marBottom w:val="0"/>
      <w:divBdr>
        <w:top w:val="none" w:sz="0" w:space="0" w:color="auto"/>
        <w:left w:val="none" w:sz="0" w:space="0" w:color="auto"/>
        <w:bottom w:val="none" w:sz="0" w:space="0" w:color="auto"/>
        <w:right w:val="none" w:sz="0" w:space="0" w:color="auto"/>
      </w:divBdr>
    </w:div>
    <w:div w:id="570505497">
      <w:bodyDiv w:val="1"/>
      <w:marLeft w:val="0"/>
      <w:marRight w:val="0"/>
      <w:marTop w:val="0"/>
      <w:marBottom w:val="0"/>
      <w:divBdr>
        <w:top w:val="none" w:sz="0" w:space="0" w:color="auto"/>
        <w:left w:val="none" w:sz="0" w:space="0" w:color="auto"/>
        <w:bottom w:val="none" w:sz="0" w:space="0" w:color="auto"/>
        <w:right w:val="none" w:sz="0" w:space="0" w:color="auto"/>
      </w:divBdr>
    </w:div>
    <w:div w:id="571308153">
      <w:bodyDiv w:val="1"/>
      <w:marLeft w:val="0"/>
      <w:marRight w:val="0"/>
      <w:marTop w:val="0"/>
      <w:marBottom w:val="0"/>
      <w:divBdr>
        <w:top w:val="none" w:sz="0" w:space="0" w:color="auto"/>
        <w:left w:val="none" w:sz="0" w:space="0" w:color="auto"/>
        <w:bottom w:val="none" w:sz="0" w:space="0" w:color="auto"/>
        <w:right w:val="none" w:sz="0" w:space="0" w:color="auto"/>
      </w:divBdr>
    </w:div>
    <w:div w:id="586769477">
      <w:bodyDiv w:val="1"/>
      <w:marLeft w:val="0"/>
      <w:marRight w:val="0"/>
      <w:marTop w:val="0"/>
      <w:marBottom w:val="0"/>
      <w:divBdr>
        <w:top w:val="none" w:sz="0" w:space="0" w:color="auto"/>
        <w:left w:val="none" w:sz="0" w:space="0" w:color="auto"/>
        <w:bottom w:val="none" w:sz="0" w:space="0" w:color="auto"/>
        <w:right w:val="none" w:sz="0" w:space="0" w:color="auto"/>
      </w:divBdr>
    </w:div>
    <w:div w:id="592009426">
      <w:bodyDiv w:val="1"/>
      <w:marLeft w:val="0"/>
      <w:marRight w:val="0"/>
      <w:marTop w:val="0"/>
      <w:marBottom w:val="0"/>
      <w:divBdr>
        <w:top w:val="none" w:sz="0" w:space="0" w:color="auto"/>
        <w:left w:val="none" w:sz="0" w:space="0" w:color="auto"/>
        <w:bottom w:val="none" w:sz="0" w:space="0" w:color="auto"/>
        <w:right w:val="none" w:sz="0" w:space="0" w:color="auto"/>
      </w:divBdr>
    </w:div>
    <w:div w:id="625237443">
      <w:bodyDiv w:val="1"/>
      <w:marLeft w:val="0"/>
      <w:marRight w:val="0"/>
      <w:marTop w:val="0"/>
      <w:marBottom w:val="0"/>
      <w:divBdr>
        <w:top w:val="none" w:sz="0" w:space="0" w:color="auto"/>
        <w:left w:val="none" w:sz="0" w:space="0" w:color="auto"/>
        <w:bottom w:val="none" w:sz="0" w:space="0" w:color="auto"/>
        <w:right w:val="none" w:sz="0" w:space="0" w:color="auto"/>
      </w:divBdr>
    </w:div>
    <w:div w:id="649947675">
      <w:bodyDiv w:val="1"/>
      <w:marLeft w:val="0"/>
      <w:marRight w:val="0"/>
      <w:marTop w:val="0"/>
      <w:marBottom w:val="0"/>
      <w:divBdr>
        <w:top w:val="none" w:sz="0" w:space="0" w:color="auto"/>
        <w:left w:val="none" w:sz="0" w:space="0" w:color="auto"/>
        <w:bottom w:val="none" w:sz="0" w:space="0" w:color="auto"/>
        <w:right w:val="none" w:sz="0" w:space="0" w:color="auto"/>
      </w:divBdr>
    </w:div>
    <w:div w:id="650792359">
      <w:bodyDiv w:val="1"/>
      <w:marLeft w:val="0"/>
      <w:marRight w:val="0"/>
      <w:marTop w:val="0"/>
      <w:marBottom w:val="0"/>
      <w:divBdr>
        <w:top w:val="none" w:sz="0" w:space="0" w:color="auto"/>
        <w:left w:val="none" w:sz="0" w:space="0" w:color="auto"/>
        <w:bottom w:val="none" w:sz="0" w:space="0" w:color="auto"/>
        <w:right w:val="none" w:sz="0" w:space="0" w:color="auto"/>
      </w:divBdr>
    </w:div>
    <w:div w:id="653607705">
      <w:bodyDiv w:val="1"/>
      <w:marLeft w:val="0"/>
      <w:marRight w:val="0"/>
      <w:marTop w:val="0"/>
      <w:marBottom w:val="0"/>
      <w:divBdr>
        <w:top w:val="none" w:sz="0" w:space="0" w:color="auto"/>
        <w:left w:val="none" w:sz="0" w:space="0" w:color="auto"/>
        <w:bottom w:val="none" w:sz="0" w:space="0" w:color="auto"/>
        <w:right w:val="none" w:sz="0" w:space="0" w:color="auto"/>
      </w:divBdr>
    </w:div>
    <w:div w:id="670644845">
      <w:bodyDiv w:val="1"/>
      <w:marLeft w:val="0"/>
      <w:marRight w:val="0"/>
      <w:marTop w:val="0"/>
      <w:marBottom w:val="0"/>
      <w:divBdr>
        <w:top w:val="none" w:sz="0" w:space="0" w:color="auto"/>
        <w:left w:val="none" w:sz="0" w:space="0" w:color="auto"/>
        <w:bottom w:val="none" w:sz="0" w:space="0" w:color="auto"/>
        <w:right w:val="none" w:sz="0" w:space="0" w:color="auto"/>
      </w:divBdr>
    </w:div>
    <w:div w:id="673075494">
      <w:bodyDiv w:val="1"/>
      <w:marLeft w:val="0"/>
      <w:marRight w:val="0"/>
      <w:marTop w:val="0"/>
      <w:marBottom w:val="0"/>
      <w:divBdr>
        <w:top w:val="none" w:sz="0" w:space="0" w:color="auto"/>
        <w:left w:val="none" w:sz="0" w:space="0" w:color="auto"/>
        <w:bottom w:val="none" w:sz="0" w:space="0" w:color="auto"/>
        <w:right w:val="none" w:sz="0" w:space="0" w:color="auto"/>
      </w:divBdr>
    </w:div>
    <w:div w:id="674497459">
      <w:bodyDiv w:val="1"/>
      <w:marLeft w:val="0"/>
      <w:marRight w:val="0"/>
      <w:marTop w:val="0"/>
      <w:marBottom w:val="0"/>
      <w:divBdr>
        <w:top w:val="none" w:sz="0" w:space="0" w:color="auto"/>
        <w:left w:val="none" w:sz="0" w:space="0" w:color="auto"/>
        <w:bottom w:val="none" w:sz="0" w:space="0" w:color="auto"/>
        <w:right w:val="none" w:sz="0" w:space="0" w:color="auto"/>
      </w:divBdr>
    </w:div>
    <w:div w:id="706099552">
      <w:bodyDiv w:val="1"/>
      <w:marLeft w:val="0"/>
      <w:marRight w:val="0"/>
      <w:marTop w:val="0"/>
      <w:marBottom w:val="0"/>
      <w:divBdr>
        <w:top w:val="none" w:sz="0" w:space="0" w:color="auto"/>
        <w:left w:val="none" w:sz="0" w:space="0" w:color="auto"/>
        <w:bottom w:val="none" w:sz="0" w:space="0" w:color="auto"/>
        <w:right w:val="none" w:sz="0" w:space="0" w:color="auto"/>
      </w:divBdr>
    </w:div>
    <w:div w:id="722868028">
      <w:bodyDiv w:val="1"/>
      <w:marLeft w:val="0"/>
      <w:marRight w:val="0"/>
      <w:marTop w:val="0"/>
      <w:marBottom w:val="0"/>
      <w:divBdr>
        <w:top w:val="none" w:sz="0" w:space="0" w:color="auto"/>
        <w:left w:val="none" w:sz="0" w:space="0" w:color="auto"/>
        <w:bottom w:val="none" w:sz="0" w:space="0" w:color="auto"/>
        <w:right w:val="none" w:sz="0" w:space="0" w:color="auto"/>
      </w:divBdr>
    </w:div>
    <w:div w:id="858276024">
      <w:bodyDiv w:val="1"/>
      <w:marLeft w:val="0"/>
      <w:marRight w:val="0"/>
      <w:marTop w:val="0"/>
      <w:marBottom w:val="0"/>
      <w:divBdr>
        <w:top w:val="none" w:sz="0" w:space="0" w:color="auto"/>
        <w:left w:val="none" w:sz="0" w:space="0" w:color="auto"/>
        <w:bottom w:val="none" w:sz="0" w:space="0" w:color="auto"/>
        <w:right w:val="none" w:sz="0" w:space="0" w:color="auto"/>
      </w:divBdr>
    </w:div>
    <w:div w:id="876621206">
      <w:bodyDiv w:val="1"/>
      <w:marLeft w:val="0"/>
      <w:marRight w:val="0"/>
      <w:marTop w:val="0"/>
      <w:marBottom w:val="0"/>
      <w:divBdr>
        <w:top w:val="none" w:sz="0" w:space="0" w:color="auto"/>
        <w:left w:val="none" w:sz="0" w:space="0" w:color="auto"/>
        <w:bottom w:val="none" w:sz="0" w:space="0" w:color="auto"/>
        <w:right w:val="none" w:sz="0" w:space="0" w:color="auto"/>
      </w:divBdr>
    </w:div>
    <w:div w:id="877014656">
      <w:bodyDiv w:val="1"/>
      <w:marLeft w:val="0"/>
      <w:marRight w:val="0"/>
      <w:marTop w:val="0"/>
      <w:marBottom w:val="0"/>
      <w:divBdr>
        <w:top w:val="none" w:sz="0" w:space="0" w:color="auto"/>
        <w:left w:val="none" w:sz="0" w:space="0" w:color="auto"/>
        <w:bottom w:val="none" w:sz="0" w:space="0" w:color="auto"/>
        <w:right w:val="none" w:sz="0" w:space="0" w:color="auto"/>
      </w:divBdr>
    </w:div>
    <w:div w:id="881986092">
      <w:bodyDiv w:val="1"/>
      <w:marLeft w:val="0"/>
      <w:marRight w:val="0"/>
      <w:marTop w:val="0"/>
      <w:marBottom w:val="0"/>
      <w:divBdr>
        <w:top w:val="none" w:sz="0" w:space="0" w:color="auto"/>
        <w:left w:val="none" w:sz="0" w:space="0" w:color="auto"/>
        <w:bottom w:val="none" w:sz="0" w:space="0" w:color="auto"/>
        <w:right w:val="none" w:sz="0" w:space="0" w:color="auto"/>
      </w:divBdr>
    </w:div>
    <w:div w:id="886646013">
      <w:bodyDiv w:val="1"/>
      <w:marLeft w:val="0"/>
      <w:marRight w:val="0"/>
      <w:marTop w:val="0"/>
      <w:marBottom w:val="0"/>
      <w:divBdr>
        <w:top w:val="none" w:sz="0" w:space="0" w:color="auto"/>
        <w:left w:val="none" w:sz="0" w:space="0" w:color="auto"/>
        <w:bottom w:val="none" w:sz="0" w:space="0" w:color="auto"/>
        <w:right w:val="none" w:sz="0" w:space="0" w:color="auto"/>
      </w:divBdr>
    </w:div>
    <w:div w:id="888421049">
      <w:bodyDiv w:val="1"/>
      <w:marLeft w:val="0"/>
      <w:marRight w:val="0"/>
      <w:marTop w:val="0"/>
      <w:marBottom w:val="0"/>
      <w:divBdr>
        <w:top w:val="none" w:sz="0" w:space="0" w:color="auto"/>
        <w:left w:val="none" w:sz="0" w:space="0" w:color="auto"/>
        <w:bottom w:val="none" w:sz="0" w:space="0" w:color="auto"/>
        <w:right w:val="none" w:sz="0" w:space="0" w:color="auto"/>
      </w:divBdr>
    </w:div>
    <w:div w:id="897209063">
      <w:bodyDiv w:val="1"/>
      <w:marLeft w:val="0"/>
      <w:marRight w:val="0"/>
      <w:marTop w:val="0"/>
      <w:marBottom w:val="0"/>
      <w:divBdr>
        <w:top w:val="none" w:sz="0" w:space="0" w:color="auto"/>
        <w:left w:val="none" w:sz="0" w:space="0" w:color="auto"/>
        <w:bottom w:val="none" w:sz="0" w:space="0" w:color="auto"/>
        <w:right w:val="none" w:sz="0" w:space="0" w:color="auto"/>
      </w:divBdr>
    </w:div>
    <w:div w:id="900750772">
      <w:bodyDiv w:val="1"/>
      <w:marLeft w:val="0"/>
      <w:marRight w:val="0"/>
      <w:marTop w:val="0"/>
      <w:marBottom w:val="0"/>
      <w:divBdr>
        <w:top w:val="none" w:sz="0" w:space="0" w:color="auto"/>
        <w:left w:val="none" w:sz="0" w:space="0" w:color="auto"/>
        <w:bottom w:val="none" w:sz="0" w:space="0" w:color="auto"/>
        <w:right w:val="none" w:sz="0" w:space="0" w:color="auto"/>
      </w:divBdr>
    </w:div>
    <w:div w:id="904922380">
      <w:bodyDiv w:val="1"/>
      <w:marLeft w:val="0"/>
      <w:marRight w:val="0"/>
      <w:marTop w:val="0"/>
      <w:marBottom w:val="0"/>
      <w:divBdr>
        <w:top w:val="none" w:sz="0" w:space="0" w:color="auto"/>
        <w:left w:val="none" w:sz="0" w:space="0" w:color="auto"/>
        <w:bottom w:val="none" w:sz="0" w:space="0" w:color="auto"/>
        <w:right w:val="none" w:sz="0" w:space="0" w:color="auto"/>
      </w:divBdr>
    </w:div>
    <w:div w:id="923756739">
      <w:bodyDiv w:val="1"/>
      <w:marLeft w:val="0"/>
      <w:marRight w:val="0"/>
      <w:marTop w:val="0"/>
      <w:marBottom w:val="0"/>
      <w:divBdr>
        <w:top w:val="none" w:sz="0" w:space="0" w:color="auto"/>
        <w:left w:val="none" w:sz="0" w:space="0" w:color="auto"/>
        <w:bottom w:val="none" w:sz="0" w:space="0" w:color="auto"/>
        <w:right w:val="none" w:sz="0" w:space="0" w:color="auto"/>
      </w:divBdr>
    </w:div>
    <w:div w:id="924806272">
      <w:bodyDiv w:val="1"/>
      <w:marLeft w:val="0"/>
      <w:marRight w:val="0"/>
      <w:marTop w:val="0"/>
      <w:marBottom w:val="0"/>
      <w:divBdr>
        <w:top w:val="none" w:sz="0" w:space="0" w:color="auto"/>
        <w:left w:val="none" w:sz="0" w:space="0" w:color="auto"/>
        <w:bottom w:val="none" w:sz="0" w:space="0" w:color="auto"/>
        <w:right w:val="none" w:sz="0" w:space="0" w:color="auto"/>
      </w:divBdr>
    </w:div>
    <w:div w:id="940917663">
      <w:bodyDiv w:val="1"/>
      <w:marLeft w:val="0"/>
      <w:marRight w:val="0"/>
      <w:marTop w:val="0"/>
      <w:marBottom w:val="0"/>
      <w:divBdr>
        <w:top w:val="none" w:sz="0" w:space="0" w:color="auto"/>
        <w:left w:val="none" w:sz="0" w:space="0" w:color="auto"/>
        <w:bottom w:val="none" w:sz="0" w:space="0" w:color="auto"/>
        <w:right w:val="none" w:sz="0" w:space="0" w:color="auto"/>
      </w:divBdr>
    </w:div>
    <w:div w:id="952827993">
      <w:bodyDiv w:val="1"/>
      <w:marLeft w:val="0"/>
      <w:marRight w:val="0"/>
      <w:marTop w:val="0"/>
      <w:marBottom w:val="0"/>
      <w:divBdr>
        <w:top w:val="none" w:sz="0" w:space="0" w:color="auto"/>
        <w:left w:val="none" w:sz="0" w:space="0" w:color="auto"/>
        <w:bottom w:val="none" w:sz="0" w:space="0" w:color="auto"/>
        <w:right w:val="none" w:sz="0" w:space="0" w:color="auto"/>
      </w:divBdr>
    </w:div>
    <w:div w:id="974214275">
      <w:bodyDiv w:val="1"/>
      <w:marLeft w:val="0"/>
      <w:marRight w:val="0"/>
      <w:marTop w:val="0"/>
      <w:marBottom w:val="0"/>
      <w:divBdr>
        <w:top w:val="none" w:sz="0" w:space="0" w:color="auto"/>
        <w:left w:val="none" w:sz="0" w:space="0" w:color="auto"/>
        <w:bottom w:val="none" w:sz="0" w:space="0" w:color="auto"/>
        <w:right w:val="none" w:sz="0" w:space="0" w:color="auto"/>
      </w:divBdr>
    </w:div>
    <w:div w:id="980571771">
      <w:bodyDiv w:val="1"/>
      <w:marLeft w:val="0"/>
      <w:marRight w:val="0"/>
      <w:marTop w:val="0"/>
      <w:marBottom w:val="0"/>
      <w:divBdr>
        <w:top w:val="none" w:sz="0" w:space="0" w:color="auto"/>
        <w:left w:val="none" w:sz="0" w:space="0" w:color="auto"/>
        <w:bottom w:val="none" w:sz="0" w:space="0" w:color="auto"/>
        <w:right w:val="none" w:sz="0" w:space="0" w:color="auto"/>
      </w:divBdr>
    </w:div>
    <w:div w:id="988172073">
      <w:bodyDiv w:val="1"/>
      <w:marLeft w:val="0"/>
      <w:marRight w:val="0"/>
      <w:marTop w:val="0"/>
      <w:marBottom w:val="0"/>
      <w:divBdr>
        <w:top w:val="none" w:sz="0" w:space="0" w:color="auto"/>
        <w:left w:val="none" w:sz="0" w:space="0" w:color="auto"/>
        <w:bottom w:val="none" w:sz="0" w:space="0" w:color="auto"/>
        <w:right w:val="none" w:sz="0" w:space="0" w:color="auto"/>
      </w:divBdr>
    </w:div>
    <w:div w:id="996954362">
      <w:bodyDiv w:val="1"/>
      <w:marLeft w:val="0"/>
      <w:marRight w:val="0"/>
      <w:marTop w:val="0"/>
      <w:marBottom w:val="0"/>
      <w:divBdr>
        <w:top w:val="none" w:sz="0" w:space="0" w:color="auto"/>
        <w:left w:val="none" w:sz="0" w:space="0" w:color="auto"/>
        <w:bottom w:val="none" w:sz="0" w:space="0" w:color="auto"/>
        <w:right w:val="none" w:sz="0" w:space="0" w:color="auto"/>
      </w:divBdr>
    </w:div>
    <w:div w:id="1004935122">
      <w:bodyDiv w:val="1"/>
      <w:marLeft w:val="0"/>
      <w:marRight w:val="0"/>
      <w:marTop w:val="0"/>
      <w:marBottom w:val="0"/>
      <w:divBdr>
        <w:top w:val="none" w:sz="0" w:space="0" w:color="auto"/>
        <w:left w:val="none" w:sz="0" w:space="0" w:color="auto"/>
        <w:bottom w:val="none" w:sz="0" w:space="0" w:color="auto"/>
        <w:right w:val="none" w:sz="0" w:space="0" w:color="auto"/>
      </w:divBdr>
    </w:div>
    <w:div w:id="1008754232">
      <w:bodyDiv w:val="1"/>
      <w:marLeft w:val="0"/>
      <w:marRight w:val="0"/>
      <w:marTop w:val="0"/>
      <w:marBottom w:val="0"/>
      <w:divBdr>
        <w:top w:val="none" w:sz="0" w:space="0" w:color="auto"/>
        <w:left w:val="none" w:sz="0" w:space="0" w:color="auto"/>
        <w:bottom w:val="none" w:sz="0" w:space="0" w:color="auto"/>
        <w:right w:val="none" w:sz="0" w:space="0" w:color="auto"/>
      </w:divBdr>
    </w:div>
    <w:div w:id="1010570250">
      <w:bodyDiv w:val="1"/>
      <w:marLeft w:val="0"/>
      <w:marRight w:val="0"/>
      <w:marTop w:val="0"/>
      <w:marBottom w:val="0"/>
      <w:divBdr>
        <w:top w:val="none" w:sz="0" w:space="0" w:color="auto"/>
        <w:left w:val="none" w:sz="0" w:space="0" w:color="auto"/>
        <w:bottom w:val="none" w:sz="0" w:space="0" w:color="auto"/>
        <w:right w:val="none" w:sz="0" w:space="0" w:color="auto"/>
      </w:divBdr>
    </w:div>
    <w:div w:id="1018657874">
      <w:bodyDiv w:val="1"/>
      <w:marLeft w:val="0"/>
      <w:marRight w:val="0"/>
      <w:marTop w:val="0"/>
      <w:marBottom w:val="0"/>
      <w:divBdr>
        <w:top w:val="none" w:sz="0" w:space="0" w:color="auto"/>
        <w:left w:val="none" w:sz="0" w:space="0" w:color="auto"/>
        <w:bottom w:val="none" w:sz="0" w:space="0" w:color="auto"/>
        <w:right w:val="none" w:sz="0" w:space="0" w:color="auto"/>
      </w:divBdr>
    </w:div>
    <w:div w:id="1104961463">
      <w:bodyDiv w:val="1"/>
      <w:marLeft w:val="0"/>
      <w:marRight w:val="0"/>
      <w:marTop w:val="0"/>
      <w:marBottom w:val="0"/>
      <w:divBdr>
        <w:top w:val="none" w:sz="0" w:space="0" w:color="auto"/>
        <w:left w:val="none" w:sz="0" w:space="0" w:color="auto"/>
        <w:bottom w:val="none" w:sz="0" w:space="0" w:color="auto"/>
        <w:right w:val="none" w:sz="0" w:space="0" w:color="auto"/>
      </w:divBdr>
    </w:div>
    <w:div w:id="1114864720">
      <w:bodyDiv w:val="1"/>
      <w:marLeft w:val="0"/>
      <w:marRight w:val="0"/>
      <w:marTop w:val="0"/>
      <w:marBottom w:val="0"/>
      <w:divBdr>
        <w:top w:val="none" w:sz="0" w:space="0" w:color="auto"/>
        <w:left w:val="none" w:sz="0" w:space="0" w:color="auto"/>
        <w:bottom w:val="none" w:sz="0" w:space="0" w:color="auto"/>
        <w:right w:val="none" w:sz="0" w:space="0" w:color="auto"/>
      </w:divBdr>
    </w:div>
    <w:div w:id="1118373204">
      <w:bodyDiv w:val="1"/>
      <w:marLeft w:val="0"/>
      <w:marRight w:val="0"/>
      <w:marTop w:val="0"/>
      <w:marBottom w:val="0"/>
      <w:divBdr>
        <w:top w:val="none" w:sz="0" w:space="0" w:color="auto"/>
        <w:left w:val="none" w:sz="0" w:space="0" w:color="auto"/>
        <w:bottom w:val="none" w:sz="0" w:space="0" w:color="auto"/>
        <w:right w:val="none" w:sz="0" w:space="0" w:color="auto"/>
      </w:divBdr>
    </w:div>
    <w:div w:id="1133477480">
      <w:bodyDiv w:val="1"/>
      <w:marLeft w:val="0"/>
      <w:marRight w:val="0"/>
      <w:marTop w:val="0"/>
      <w:marBottom w:val="0"/>
      <w:divBdr>
        <w:top w:val="none" w:sz="0" w:space="0" w:color="auto"/>
        <w:left w:val="none" w:sz="0" w:space="0" w:color="auto"/>
        <w:bottom w:val="none" w:sz="0" w:space="0" w:color="auto"/>
        <w:right w:val="none" w:sz="0" w:space="0" w:color="auto"/>
      </w:divBdr>
    </w:div>
    <w:div w:id="1150318708">
      <w:bodyDiv w:val="1"/>
      <w:marLeft w:val="0"/>
      <w:marRight w:val="0"/>
      <w:marTop w:val="0"/>
      <w:marBottom w:val="0"/>
      <w:divBdr>
        <w:top w:val="none" w:sz="0" w:space="0" w:color="auto"/>
        <w:left w:val="none" w:sz="0" w:space="0" w:color="auto"/>
        <w:bottom w:val="none" w:sz="0" w:space="0" w:color="auto"/>
        <w:right w:val="none" w:sz="0" w:space="0" w:color="auto"/>
      </w:divBdr>
    </w:div>
    <w:div w:id="1155948226">
      <w:bodyDiv w:val="1"/>
      <w:marLeft w:val="0"/>
      <w:marRight w:val="0"/>
      <w:marTop w:val="0"/>
      <w:marBottom w:val="0"/>
      <w:divBdr>
        <w:top w:val="none" w:sz="0" w:space="0" w:color="auto"/>
        <w:left w:val="none" w:sz="0" w:space="0" w:color="auto"/>
        <w:bottom w:val="none" w:sz="0" w:space="0" w:color="auto"/>
        <w:right w:val="none" w:sz="0" w:space="0" w:color="auto"/>
      </w:divBdr>
    </w:div>
    <w:div w:id="1158110559">
      <w:bodyDiv w:val="1"/>
      <w:marLeft w:val="0"/>
      <w:marRight w:val="0"/>
      <w:marTop w:val="0"/>
      <w:marBottom w:val="0"/>
      <w:divBdr>
        <w:top w:val="none" w:sz="0" w:space="0" w:color="auto"/>
        <w:left w:val="none" w:sz="0" w:space="0" w:color="auto"/>
        <w:bottom w:val="none" w:sz="0" w:space="0" w:color="auto"/>
        <w:right w:val="none" w:sz="0" w:space="0" w:color="auto"/>
      </w:divBdr>
    </w:div>
    <w:div w:id="1159543799">
      <w:bodyDiv w:val="1"/>
      <w:marLeft w:val="0"/>
      <w:marRight w:val="0"/>
      <w:marTop w:val="0"/>
      <w:marBottom w:val="0"/>
      <w:divBdr>
        <w:top w:val="none" w:sz="0" w:space="0" w:color="auto"/>
        <w:left w:val="none" w:sz="0" w:space="0" w:color="auto"/>
        <w:bottom w:val="none" w:sz="0" w:space="0" w:color="auto"/>
        <w:right w:val="none" w:sz="0" w:space="0" w:color="auto"/>
      </w:divBdr>
    </w:div>
    <w:div w:id="1176652079">
      <w:bodyDiv w:val="1"/>
      <w:marLeft w:val="0"/>
      <w:marRight w:val="0"/>
      <w:marTop w:val="0"/>
      <w:marBottom w:val="0"/>
      <w:divBdr>
        <w:top w:val="none" w:sz="0" w:space="0" w:color="auto"/>
        <w:left w:val="none" w:sz="0" w:space="0" w:color="auto"/>
        <w:bottom w:val="none" w:sz="0" w:space="0" w:color="auto"/>
        <w:right w:val="none" w:sz="0" w:space="0" w:color="auto"/>
      </w:divBdr>
    </w:div>
    <w:div w:id="1182085587">
      <w:bodyDiv w:val="1"/>
      <w:marLeft w:val="0"/>
      <w:marRight w:val="0"/>
      <w:marTop w:val="0"/>
      <w:marBottom w:val="0"/>
      <w:divBdr>
        <w:top w:val="none" w:sz="0" w:space="0" w:color="auto"/>
        <w:left w:val="none" w:sz="0" w:space="0" w:color="auto"/>
        <w:bottom w:val="none" w:sz="0" w:space="0" w:color="auto"/>
        <w:right w:val="none" w:sz="0" w:space="0" w:color="auto"/>
      </w:divBdr>
    </w:div>
    <w:div w:id="1193610842">
      <w:bodyDiv w:val="1"/>
      <w:marLeft w:val="0"/>
      <w:marRight w:val="0"/>
      <w:marTop w:val="0"/>
      <w:marBottom w:val="0"/>
      <w:divBdr>
        <w:top w:val="none" w:sz="0" w:space="0" w:color="auto"/>
        <w:left w:val="none" w:sz="0" w:space="0" w:color="auto"/>
        <w:bottom w:val="none" w:sz="0" w:space="0" w:color="auto"/>
        <w:right w:val="none" w:sz="0" w:space="0" w:color="auto"/>
      </w:divBdr>
    </w:div>
    <w:div w:id="1201287428">
      <w:bodyDiv w:val="1"/>
      <w:marLeft w:val="0"/>
      <w:marRight w:val="0"/>
      <w:marTop w:val="0"/>
      <w:marBottom w:val="0"/>
      <w:divBdr>
        <w:top w:val="none" w:sz="0" w:space="0" w:color="auto"/>
        <w:left w:val="none" w:sz="0" w:space="0" w:color="auto"/>
        <w:bottom w:val="none" w:sz="0" w:space="0" w:color="auto"/>
        <w:right w:val="none" w:sz="0" w:space="0" w:color="auto"/>
      </w:divBdr>
    </w:div>
    <w:div w:id="1207792121">
      <w:bodyDiv w:val="1"/>
      <w:marLeft w:val="0"/>
      <w:marRight w:val="0"/>
      <w:marTop w:val="0"/>
      <w:marBottom w:val="0"/>
      <w:divBdr>
        <w:top w:val="none" w:sz="0" w:space="0" w:color="auto"/>
        <w:left w:val="none" w:sz="0" w:space="0" w:color="auto"/>
        <w:bottom w:val="none" w:sz="0" w:space="0" w:color="auto"/>
        <w:right w:val="none" w:sz="0" w:space="0" w:color="auto"/>
      </w:divBdr>
    </w:div>
    <w:div w:id="1210610683">
      <w:bodyDiv w:val="1"/>
      <w:marLeft w:val="0"/>
      <w:marRight w:val="0"/>
      <w:marTop w:val="0"/>
      <w:marBottom w:val="0"/>
      <w:divBdr>
        <w:top w:val="none" w:sz="0" w:space="0" w:color="auto"/>
        <w:left w:val="none" w:sz="0" w:space="0" w:color="auto"/>
        <w:bottom w:val="none" w:sz="0" w:space="0" w:color="auto"/>
        <w:right w:val="none" w:sz="0" w:space="0" w:color="auto"/>
      </w:divBdr>
    </w:div>
    <w:div w:id="1258094849">
      <w:bodyDiv w:val="1"/>
      <w:marLeft w:val="0"/>
      <w:marRight w:val="0"/>
      <w:marTop w:val="0"/>
      <w:marBottom w:val="0"/>
      <w:divBdr>
        <w:top w:val="none" w:sz="0" w:space="0" w:color="auto"/>
        <w:left w:val="none" w:sz="0" w:space="0" w:color="auto"/>
        <w:bottom w:val="none" w:sz="0" w:space="0" w:color="auto"/>
        <w:right w:val="none" w:sz="0" w:space="0" w:color="auto"/>
      </w:divBdr>
    </w:div>
    <w:div w:id="1266039156">
      <w:bodyDiv w:val="1"/>
      <w:marLeft w:val="0"/>
      <w:marRight w:val="0"/>
      <w:marTop w:val="0"/>
      <w:marBottom w:val="0"/>
      <w:divBdr>
        <w:top w:val="none" w:sz="0" w:space="0" w:color="auto"/>
        <w:left w:val="none" w:sz="0" w:space="0" w:color="auto"/>
        <w:bottom w:val="none" w:sz="0" w:space="0" w:color="auto"/>
        <w:right w:val="none" w:sz="0" w:space="0" w:color="auto"/>
      </w:divBdr>
    </w:div>
    <w:div w:id="1280378358">
      <w:bodyDiv w:val="1"/>
      <w:marLeft w:val="0"/>
      <w:marRight w:val="0"/>
      <w:marTop w:val="0"/>
      <w:marBottom w:val="0"/>
      <w:divBdr>
        <w:top w:val="none" w:sz="0" w:space="0" w:color="auto"/>
        <w:left w:val="none" w:sz="0" w:space="0" w:color="auto"/>
        <w:bottom w:val="none" w:sz="0" w:space="0" w:color="auto"/>
        <w:right w:val="none" w:sz="0" w:space="0" w:color="auto"/>
      </w:divBdr>
    </w:div>
    <w:div w:id="1338191538">
      <w:bodyDiv w:val="1"/>
      <w:marLeft w:val="0"/>
      <w:marRight w:val="0"/>
      <w:marTop w:val="0"/>
      <w:marBottom w:val="0"/>
      <w:divBdr>
        <w:top w:val="none" w:sz="0" w:space="0" w:color="auto"/>
        <w:left w:val="none" w:sz="0" w:space="0" w:color="auto"/>
        <w:bottom w:val="none" w:sz="0" w:space="0" w:color="auto"/>
        <w:right w:val="none" w:sz="0" w:space="0" w:color="auto"/>
      </w:divBdr>
    </w:div>
    <w:div w:id="1360929511">
      <w:bodyDiv w:val="1"/>
      <w:marLeft w:val="0"/>
      <w:marRight w:val="0"/>
      <w:marTop w:val="0"/>
      <w:marBottom w:val="0"/>
      <w:divBdr>
        <w:top w:val="none" w:sz="0" w:space="0" w:color="auto"/>
        <w:left w:val="none" w:sz="0" w:space="0" w:color="auto"/>
        <w:bottom w:val="none" w:sz="0" w:space="0" w:color="auto"/>
        <w:right w:val="none" w:sz="0" w:space="0" w:color="auto"/>
      </w:divBdr>
    </w:div>
    <w:div w:id="1373536008">
      <w:bodyDiv w:val="1"/>
      <w:marLeft w:val="0"/>
      <w:marRight w:val="0"/>
      <w:marTop w:val="0"/>
      <w:marBottom w:val="0"/>
      <w:divBdr>
        <w:top w:val="none" w:sz="0" w:space="0" w:color="auto"/>
        <w:left w:val="none" w:sz="0" w:space="0" w:color="auto"/>
        <w:bottom w:val="none" w:sz="0" w:space="0" w:color="auto"/>
        <w:right w:val="none" w:sz="0" w:space="0" w:color="auto"/>
      </w:divBdr>
    </w:div>
    <w:div w:id="1400136004">
      <w:bodyDiv w:val="1"/>
      <w:marLeft w:val="0"/>
      <w:marRight w:val="0"/>
      <w:marTop w:val="0"/>
      <w:marBottom w:val="0"/>
      <w:divBdr>
        <w:top w:val="none" w:sz="0" w:space="0" w:color="auto"/>
        <w:left w:val="none" w:sz="0" w:space="0" w:color="auto"/>
        <w:bottom w:val="none" w:sz="0" w:space="0" w:color="auto"/>
        <w:right w:val="none" w:sz="0" w:space="0" w:color="auto"/>
      </w:divBdr>
    </w:div>
    <w:div w:id="1420756408">
      <w:bodyDiv w:val="1"/>
      <w:marLeft w:val="0"/>
      <w:marRight w:val="0"/>
      <w:marTop w:val="0"/>
      <w:marBottom w:val="0"/>
      <w:divBdr>
        <w:top w:val="none" w:sz="0" w:space="0" w:color="auto"/>
        <w:left w:val="none" w:sz="0" w:space="0" w:color="auto"/>
        <w:bottom w:val="none" w:sz="0" w:space="0" w:color="auto"/>
        <w:right w:val="none" w:sz="0" w:space="0" w:color="auto"/>
      </w:divBdr>
    </w:div>
    <w:div w:id="1435981111">
      <w:bodyDiv w:val="1"/>
      <w:marLeft w:val="0"/>
      <w:marRight w:val="0"/>
      <w:marTop w:val="0"/>
      <w:marBottom w:val="0"/>
      <w:divBdr>
        <w:top w:val="none" w:sz="0" w:space="0" w:color="auto"/>
        <w:left w:val="none" w:sz="0" w:space="0" w:color="auto"/>
        <w:bottom w:val="none" w:sz="0" w:space="0" w:color="auto"/>
        <w:right w:val="none" w:sz="0" w:space="0" w:color="auto"/>
      </w:divBdr>
    </w:div>
    <w:div w:id="1446194977">
      <w:bodyDiv w:val="1"/>
      <w:marLeft w:val="0"/>
      <w:marRight w:val="0"/>
      <w:marTop w:val="0"/>
      <w:marBottom w:val="0"/>
      <w:divBdr>
        <w:top w:val="none" w:sz="0" w:space="0" w:color="auto"/>
        <w:left w:val="none" w:sz="0" w:space="0" w:color="auto"/>
        <w:bottom w:val="none" w:sz="0" w:space="0" w:color="auto"/>
        <w:right w:val="none" w:sz="0" w:space="0" w:color="auto"/>
      </w:divBdr>
    </w:div>
    <w:div w:id="1447194184">
      <w:bodyDiv w:val="1"/>
      <w:marLeft w:val="0"/>
      <w:marRight w:val="0"/>
      <w:marTop w:val="0"/>
      <w:marBottom w:val="0"/>
      <w:divBdr>
        <w:top w:val="none" w:sz="0" w:space="0" w:color="auto"/>
        <w:left w:val="none" w:sz="0" w:space="0" w:color="auto"/>
        <w:bottom w:val="none" w:sz="0" w:space="0" w:color="auto"/>
        <w:right w:val="none" w:sz="0" w:space="0" w:color="auto"/>
      </w:divBdr>
    </w:div>
    <w:div w:id="1452285769">
      <w:bodyDiv w:val="1"/>
      <w:marLeft w:val="0"/>
      <w:marRight w:val="0"/>
      <w:marTop w:val="0"/>
      <w:marBottom w:val="0"/>
      <w:divBdr>
        <w:top w:val="none" w:sz="0" w:space="0" w:color="auto"/>
        <w:left w:val="none" w:sz="0" w:space="0" w:color="auto"/>
        <w:bottom w:val="none" w:sz="0" w:space="0" w:color="auto"/>
        <w:right w:val="none" w:sz="0" w:space="0" w:color="auto"/>
      </w:divBdr>
    </w:div>
    <w:div w:id="1464612468">
      <w:bodyDiv w:val="1"/>
      <w:marLeft w:val="0"/>
      <w:marRight w:val="0"/>
      <w:marTop w:val="0"/>
      <w:marBottom w:val="0"/>
      <w:divBdr>
        <w:top w:val="none" w:sz="0" w:space="0" w:color="auto"/>
        <w:left w:val="none" w:sz="0" w:space="0" w:color="auto"/>
        <w:bottom w:val="none" w:sz="0" w:space="0" w:color="auto"/>
        <w:right w:val="none" w:sz="0" w:space="0" w:color="auto"/>
      </w:divBdr>
    </w:div>
    <w:div w:id="1489133631">
      <w:bodyDiv w:val="1"/>
      <w:marLeft w:val="0"/>
      <w:marRight w:val="0"/>
      <w:marTop w:val="0"/>
      <w:marBottom w:val="0"/>
      <w:divBdr>
        <w:top w:val="none" w:sz="0" w:space="0" w:color="auto"/>
        <w:left w:val="none" w:sz="0" w:space="0" w:color="auto"/>
        <w:bottom w:val="none" w:sz="0" w:space="0" w:color="auto"/>
        <w:right w:val="none" w:sz="0" w:space="0" w:color="auto"/>
      </w:divBdr>
    </w:div>
    <w:div w:id="1507548511">
      <w:bodyDiv w:val="1"/>
      <w:marLeft w:val="0"/>
      <w:marRight w:val="0"/>
      <w:marTop w:val="0"/>
      <w:marBottom w:val="0"/>
      <w:divBdr>
        <w:top w:val="none" w:sz="0" w:space="0" w:color="auto"/>
        <w:left w:val="none" w:sz="0" w:space="0" w:color="auto"/>
        <w:bottom w:val="none" w:sz="0" w:space="0" w:color="auto"/>
        <w:right w:val="none" w:sz="0" w:space="0" w:color="auto"/>
      </w:divBdr>
    </w:div>
    <w:div w:id="1526870044">
      <w:bodyDiv w:val="1"/>
      <w:marLeft w:val="0"/>
      <w:marRight w:val="0"/>
      <w:marTop w:val="0"/>
      <w:marBottom w:val="0"/>
      <w:divBdr>
        <w:top w:val="none" w:sz="0" w:space="0" w:color="auto"/>
        <w:left w:val="none" w:sz="0" w:space="0" w:color="auto"/>
        <w:bottom w:val="none" w:sz="0" w:space="0" w:color="auto"/>
        <w:right w:val="none" w:sz="0" w:space="0" w:color="auto"/>
      </w:divBdr>
    </w:div>
    <w:div w:id="1546596616">
      <w:bodyDiv w:val="1"/>
      <w:marLeft w:val="0"/>
      <w:marRight w:val="0"/>
      <w:marTop w:val="0"/>
      <w:marBottom w:val="0"/>
      <w:divBdr>
        <w:top w:val="none" w:sz="0" w:space="0" w:color="auto"/>
        <w:left w:val="none" w:sz="0" w:space="0" w:color="auto"/>
        <w:bottom w:val="none" w:sz="0" w:space="0" w:color="auto"/>
        <w:right w:val="none" w:sz="0" w:space="0" w:color="auto"/>
      </w:divBdr>
    </w:div>
    <w:div w:id="1547638123">
      <w:bodyDiv w:val="1"/>
      <w:marLeft w:val="0"/>
      <w:marRight w:val="0"/>
      <w:marTop w:val="0"/>
      <w:marBottom w:val="0"/>
      <w:divBdr>
        <w:top w:val="none" w:sz="0" w:space="0" w:color="auto"/>
        <w:left w:val="none" w:sz="0" w:space="0" w:color="auto"/>
        <w:bottom w:val="none" w:sz="0" w:space="0" w:color="auto"/>
        <w:right w:val="none" w:sz="0" w:space="0" w:color="auto"/>
      </w:divBdr>
    </w:div>
    <w:div w:id="1551653280">
      <w:bodyDiv w:val="1"/>
      <w:marLeft w:val="0"/>
      <w:marRight w:val="0"/>
      <w:marTop w:val="0"/>
      <w:marBottom w:val="0"/>
      <w:divBdr>
        <w:top w:val="none" w:sz="0" w:space="0" w:color="auto"/>
        <w:left w:val="none" w:sz="0" w:space="0" w:color="auto"/>
        <w:bottom w:val="none" w:sz="0" w:space="0" w:color="auto"/>
        <w:right w:val="none" w:sz="0" w:space="0" w:color="auto"/>
      </w:divBdr>
    </w:div>
    <w:div w:id="1583753854">
      <w:bodyDiv w:val="1"/>
      <w:marLeft w:val="0"/>
      <w:marRight w:val="0"/>
      <w:marTop w:val="0"/>
      <w:marBottom w:val="0"/>
      <w:divBdr>
        <w:top w:val="none" w:sz="0" w:space="0" w:color="auto"/>
        <w:left w:val="none" w:sz="0" w:space="0" w:color="auto"/>
        <w:bottom w:val="none" w:sz="0" w:space="0" w:color="auto"/>
        <w:right w:val="none" w:sz="0" w:space="0" w:color="auto"/>
      </w:divBdr>
    </w:div>
    <w:div w:id="1592351605">
      <w:bodyDiv w:val="1"/>
      <w:marLeft w:val="0"/>
      <w:marRight w:val="0"/>
      <w:marTop w:val="0"/>
      <w:marBottom w:val="0"/>
      <w:divBdr>
        <w:top w:val="none" w:sz="0" w:space="0" w:color="auto"/>
        <w:left w:val="none" w:sz="0" w:space="0" w:color="auto"/>
        <w:bottom w:val="none" w:sz="0" w:space="0" w:color="auto"/>
        <w:right w:val="none" w:sz="0" w:space="0" w:color="auto"/>
      </w:divBdr>
    </w:div>
    <w:div w:id="1593275317">
      <w:bodyDiv w:val="1"/>
      <w:marLeft w:val="0"/>
      <w:marRight w:val="0"/>
      <w:marTop w:val="0"/>
      <w:marBottom w:val="0"/>
      <w:divBdr>
        <w:top w:val="none" w:sz="0" w:space="0" w:color="auto"/>
        <w:left w:val="none" w:sz="0" w:space="0" w:color="auto"/>
        <w:bottom w:val="none" w:sz="0" w:space="0" w:color="auto"/>
        <w:right w:val="none" w:sz="0" w:space="0" w:color="auto"/>
      </w:divBdr>
    </w:div>
    <w:div w:id="1614633611">
      <w:bodyDiv w:val="1"/>
      <w:marLeft w:val="0"/>
      <w:marRight w:val="0"/>
      <w:marTop w:val="0"/>
      <w:marBottom w:val="0"/>
      <w:divBdr>
        <w:top w:val="none" w:sz="0" w:space="0" w:color="auto"/>
        <w:left w:val="none" w:sz="0" w:space="0" w:color="auto"/>
        <w:bottom w:val="none" w:sz="0" w:space="0" w:color="auto"/>
        <w:right w:val="none" w:sz="0" w:space="0" w:color="auto"/>
      </w:divBdr>
    </w:div>
    <w:div w:id="1622614535">
      <w:bodyDiv w:val="1"/>
      <w:marLeft w:val="0"/>
      <w:marRight w:val="0"/>
      <w:marTop w:val="0"/>
      <w:marBottom w:val="0"/>
      <w:divBdr>
        <w:top w:val="none" w:sz="0" w:space="0" w:color="auto"/>
        <w:left w:val="none" w:sz="0" w:space="0" w:color="auto"/>
        <w:bottom w:val="none" w:sz="0" w:space="0" w:color="auto"/>
        <w:right w:val="none" w:sz="0" w:space="0" w:color="auto"/>
      </w:divBdr>
    </w:div>
    <w:div w:id="1631861238">
      <w:bodyDiv w:val="1"/>
      <w:marLeft w:val="0"/>
      <w:marRight w:val="0"/>
      <w:marTop w:val="0"/>
      <w:marBottom w:val="0"/>
      <w:divBdr>
        <w:top w:val="none" w:sz="0" w:space="0" w:color="auto"/>
        <w:left w:val="none" w:sz="0" w:space="0" w:color="auto"/>
        <w:bottom w:val="none" w:sz="0" w:space="0" w:color="auto"/>
        <w:right w:val="none" w:sz="0" w:space="0" w:color="auto"/>
      </w:divBdr>
    </w:div>
    <w:div w:id="1637636996">
      <w:bodyDiv w:val="1"/>
      <w:marLeft w:val="0"/>
      <w:marRight w:val="0"/>
      <w:marTop w:val="0"/>
      <w:marBottom w:val="0"/>
      <w:divBdr>
        <w:top w:val="none" w:sz="0" w:space="0" w:color="auto"/>
        <w:left w:val="none" w:sz="0" w:space="0" w:color="auto"/>
        <w:bottom w:val="none" w:sz="0" w:space="0" w:color="auto"/>
        <w:right w:val="none" w:sz="0" w:space="0" w:color="auto"/>
      </w:divBdr>
    </w:div>
    <w:div w:id="1640265412">
      <w:bodyDiv w:val="1"/>
      <w:marLeft w:val="0"/>
      <w:marRight w:val="0"/>
      <w:marTop w:val="0"/>
      <w:marBottom w:val="0"/>
      <w:divBdr>
        <w:top w:val="none" w:sz="0" w:space="0" w:color="auto"/>
        <w:left w:val="none" w:sz="0" w:space="0" w:color="auto"/>
        <w:bottom w:val="none" w:sz="0" w:space="0" w:color="auto"/>
        <w:right w:val="none" w:sz="0" w:space="0" w:color="auto"/>
      </w:divBdr>
    </w:div>
    <w:div w:id="1641960184">
      <w:bodyDiv w:val="1"/>
      <w:marLeft w:val="0"/>
      <w:marRight w:val="0"/>
      <w:marTop w:val="0"/>
      <w:marBottom w:val="0"/>
      <w:divBdr>
        <w:top w:val="none" w:sz="0" w:space="0" w:color="auto"/>
        <w:left w:val="none" w:sz="0" w:space="0" w:color="auto"/>
        <w:bottom w:val="none" w:sz="0" w:space="0" w:color="auto"/>
        <w:right w:val="none" w:sz="0" w:space="0" w:color="auto"/>
      </w:divBdr>
    </w:div>
    <w:div w:id="1664357150">
      <w:bodyDiv w:val="1"/>
      <w:marLeft w:val="0"/>
      <w:marRight w:val="0"/>
      <w:marTop w:val="0"/>
      <w:marBottom w:val="0"/>
      <w:divBdr>
        <w:top w:val="none" w:sz="0" w:space="0" w:color="auto"/>
        <w:left w:val="none" w:sz="0" w:space="0" w:color="auto"/>
        <w:bottom w:val="none" w:sz="0" w:space="0" w:color="auto"/>
        <w:right w:val="none" w:sz="0" w:space="0" w:color="auto"/>
      </w:divBdr>
    </w:div>
    <w:div w:id="1677071376">
      <w:bodyDiv w:val="1"/>
      <w:marLeft w:val="0"/>
      <w:marRight w:val="0"/>
      <w:marTop w:val="0"/>
      <w:marBottom w:val="0"/>
      <w:divBdr>
        <w:top w:val="none" w:sz="0" w:space="0" w:color="auto"/>
        <w:left w:val="none" w:sz="0" w:space="0" w:color="auto"/>
        <w:bottom w:val="none" w:sz="0" w:space="0" w:color="auto"/>
        <w:right w:val="none" w:sz="0" w:space="0" w:color="auto"/>
      </w:divBdr>
    </w:div>
    <w:div w:id="1685403831">
      <w:bodyDiv w:val="1"/>
      <w:marLeft w:val="0"/>
      <w:marRight w:val="0"/>
      <w:marTop w:val="0"/>
      <w:marBottom w:val="0"/>
      <w:divBdr>
        <w:top w:val="none" w:sz="0" w:space="0" w:color="auto"/>
        <w:left w:val="none" w:sz="0" w:space="0" w:color="auto"/>
        <w:bottom w:val="none" w:sz="0" w:space="0" w:color="auto"/>
        <w:right w:val="none" w:sz="0" w:space="0" w:color="auto"/>
      </w:divBdr>
    </w:div>
    <w:div w:id="1690639454">
      <w:bodyDiv w:val="1"/>
      <w:marLeft w:val="0"/>
      <w:marRight w:val="0"/>
      <w:marTop w:val="0"/>
      <w:marBottom w:val="0"/>
      <w:divBdr>
        <w:top w:val="none" w:sz="0" w:space="0" w:color="auto"/>
        <w:left w:val="none" w:sz="0" w:space="0" w:color="auto"/>
        <w:bottom w:val="none" w:sz="0" w:space="0" w:color="auto"/>
        <w:right w:val="none" w:sz="0" w:space="0" w:color="auto"/>
      </w:divBdr>
    </w:div>
    <w:div w:id="1705058302">
      <w:bodyDiv w:val="1"/>
      <w:marLeft w:val="0"/>
      <w:marRight w:val="0"/>
      <w:marTop w:val="0"/>
      <w:marBottom w:val="0"/>
      <w:divBdr>
        <w:top w:val="none" w:sz="0" w:space="0" w:color="auto"/>
        <w:left w:val="none" w:sz="0" w:space="0" w:color="auto"/>
        <w:bottom w:val="none" w:sz="0" w:space="0" w:color="auto"/>
        <w:right w:val="none" w:sz="0" w:space="0" w:color="auto"/>
      </w:divBdr>
    </w:div>
    <w:div w:id="1711149164">
      <w:bodyDiv w:val="1"/>
      <w:marLeft w:val="0"/>
      <w:marRight w:val="0"/>
      <w:marTop w:val="0"/>
      <w:marBottom w:val="0"/>
      <w:divBdr>
        <w:top w:val="none" w:sz="0" w:space="0" w:color="auto"/>
        <w:left w:val="none" w:sz="0" w:space="0" w:color="auto"/>
        <w:bottom w:val="none" w:sz="0" w:space="0" w:color="auto"/>
        <w:right w:val="none" w:sz="0" w:space="0" w:color="auto"/>
      </w:divBdr>
    </w:div>
    <w:div w:id="1713991019">
      <w:bodyDiv w:val="1"/>
      <w:marLeft w:val="0"/>
      <w:marRight w:val="0"/>
      <w:marTop w:val="0"/>
      <w:marBottom w:val="0"/>
      <w:divBdr>
        <w:top w:val="none" w:sz="0" w:space="0" w:color="auto"/>
        <w:left w:val="none" w:sz="0" w:space="0" w:color="auto"/>
        <w:bottom w:val="none" w:sz="0" w:space="0" w:color="auto"/>
        <w:right w:val="none" w:sz="0" w:space="0" w:color="auto"/>
      </w:divBdr>
    </w:div>
    <w:div w:id="1758166652">
      <w:bodyDiv w:val="1"/>
      <w:marLeft w:val="0"/>
      <w:marRight w:val="0"/>
      <w:marTop w:val="0"/>
      <w:marBottom w:val="0"/>
      <w:divBdr>
        <w:top w:val="none" w:sz="0" w:space="0" w:color="auto"/>
        <w:left w:val="none" w:sz="0" w:space="0" w:color="auto"/>
        <w:bottom w:val="none" w:sz="0" w:space="0" w:color="auto"/>
        <w:right w:val="none" w:sz="0" w:space="0" w:color="auto"/>
      </w:divBdr>
    </w:div>
    <w:div w:id="1776634842">
      <w:bodyDiv w:val="1"/>
      <w:marLeft w:val="0"/>
      <w:marRight w:val="0"/>
      <w:marTop w:val="0"/>
      <w:marBottom w:val="0"/>
      <w:divBdr>
        <w:top w:val="none" w:sz="0" w:space="0" w:color="auto"/>
        <w:left w:val="none" w:sz="0" w:space="0" w:color="auto"/>
        <w:bottom w:val="none" w:sz="0" w:space="0" w:color="auto"/>
        <w:right w:val="none" w:sz="0" w:space="0" w:color="auto"/>
      </w:divBdr>
    </w:div>
    <w:div w:id="1789274175">
      <w:bodyDiv w:val="1"/>
      <w:marLeft w:val="0"/>
      <w:marRight w:val="0"/>
      <w:marTop w:val="0"/>
      <w:marBottom w:val="0"/>
      <w:divBdr>
        <w:top w:val="none" w:sz="0" w:space="0" w:color="auto"/>
        <w:left w:val="none" w:sz="0" w:space="0" w:color="auto"/>
        <w:bottom w:val="none" w:sz="0" w:space="0" w:color="auto"/>
        <w:right w:val="none" w:sz="0" w:space="0" w:color="auto"/>
      </w:divBdr>
    </w:div>
    <w:div w:id="1805195382">
      <w:bodyDiv w:val="1"/>
      <w:marLeft w:val="0"/>
      <w:marRight w:val="0"/>
      <w:marTop w:val="0"/>
      <w:marBottom w:val="0"/>
      <w:divBdr>
        <w:top w:val="none" w:sz="0" w:space="0" w:color="auto"/>
        <w:left w:val="none" w:sz="0" w:space="0" w:color="auto"/>
        <w:bottom w:val="none" w:sz="0" w:space="0" w:color="auto"/>
        <w:right w:val="none" w:sz="0" w:space="0" w:color="auto"/>
      </w:divBdr>
    </w:div>
    <w:div w:id="1817869392">
      <w:bodyDiv w:val="1"/>
      <w:marLeft w:val="0"/>
      <w:marRight w:val="0"/>
      <w:marTop w:val="0"/>
      <w:marBottom w:val="0"/>
      <w:divBdr>
        <w:top w:val="none" w:sz="0" w:space="0" w:color="auto"/>
        <w:left w:val="none" w:sz="0" w:space="0" w:color="auto"/>
        <w:bottom w:val="none" w:sz="0" w:space="0" w:color="auto"/>
        <w:right w:val="none" w:sz="0" w:space="0" w:color="auto"/>
      </w:divBdr>
    </w:div>
    <w:div w:id="1826043606">
      <w:bodyDiv w:val="1"/>
      <w:marLeft w:val="0"/>
      <w:marRight w:val="0"/>
      <w:marTop w:val="0"/>
      <w:marBottom w:val="0"/>
      <w:divBdr>
        <w:top w:val="none" w:sz="0" w:space="0" w:color="auto"/>
        <w:left w:val="none" w:sz="0" w:space="0" w:color="auto"/>
        <w:bottom w:val="none" w:sz="0" w:space="0" w:color="auto"/>
        <w:right w:val="none" w:sz="0" w:space="0" w:color="auto"/>
      </w:divBdr>
    </w:div>
    <w:div w:id="1860270339">
      <w:bodyDiv w:val="1"/>
      <w:marLeft w:val="0"/>
      <w:marRight w:val="0"/>
      <w:marTop w:val="0"/>
      <w:marBottom w:val="0"/>
      <w:divBdr>
        <w:top w:val="none" w:sz="0" w:space="0" w:color="auto"/>
        <w:left w:val="none" w:sz="0" w:space="0" w:color="auto"/>
        <w:bottom w:val="none" w:sz="0" w:space="0" w:color="auto"/>
        <w:right w:val="none" w:sz="0" w:space="0" w:color="auto"/>
      </w:divBdr>
    </w:div>
    <w:div w:id="1863401925">
      <w:bodyDiv w:val="1"/>
      <w:marLeft w:val="0"/>
      <w:marRight w:val="0"/>
      <w:marTop w:val="0"/>
      <w:marBottom w:val="0"/>
      <w:divBdr>
        <w:top w:val="none" w:sz="0" w:space="0" w:color="auto"/>
        <w:left w:val="none" w:sz="0" w:space="0" w:color="auto"/>
        <w:bottom w:val="none" w:sz="0" w:space="0" w:color="auto"/>
        <w:right w:val="none" w:sz="0" w:space="0" w:color="auto"/>
      </w:divBdr>
    </w:div>
    <w:div w:id="1865710252">
      <w:bodyDiv w:val="1"/>
      <w:marLeft w:val="0"/>
      <w:marRight w:val="0"/>
      <w:marTop w:val="0"/>
      <w:marBottom w:val="0"/>
      <w:divBdr>
        <w:top w:val="none" w:sz="0" w:space="0" w:color="auto"/>
        <w:left w:val="none" w:sz="0" w:space="0" w:color="auto"/>
        <w:bottom w:val="none" w:sz="0" w:space="0" w:color="auto"/>
        <w:right w:val="none" w:sz="0" w:space="0" w:color="auto"/>
      </w:divBdr>
    </w:div>
    <w:div w:id="1872911461">
      <w:bodyDiv w:val="1"/>
      <w:marLeft w:val="0"/>
      <w:marRight w:val="0"/>
      <w:marTop w:val="0"/>
      <w:marBottom w:val="0"/>
      <w:divBdr>
        <w:top w:val="none" w:sz="0" w:space="0" w:color="auto"/>
        <w:left w:val="none" w:sz="0" w:space="0" w:color="auto"/>
        <w:bottom w:val="none" w:sz="0" w:space="0" w:color="auto"/>
        <w:right w:val="none" w:sz="0" w:space="0" w:color="auto"/>
      </w:divBdr>
    </w:div>
    <w:div w:id="1875263042">
      <w:bodyDiv w:val="1"/>
      <w:marLeft w:val="0"/>
      <w:marRight w:val="0"/>
      <w:marTop w:val="0"/>
      <w:marBottom w:val="0"/>
      <w:divBdr>
        <w:top w:val="none" w:sz="0" w:space="0" w:color="auto"/>
        <w:left w:val="none" w:sz="0" w:space="0" w:color="auto"/>
        <w:bottom w:val="none" w:sz="0" w:space="0" w:color="auto"/>
        <w:right w:val="none" w:sz="0" w:space="0" w:color="auto"/>
      </w:divBdr>
    </w:div>
    <w:div w:id="1884904832">
      <w:bodyDiv w:val="1"/>
      <w:marLeft w:val="0"/>
      <w:marRight w:val="0"/>
      <w:marTop w:val="0"/>
      <w:marBottom w:val="0"/>
      <w:divBdr>
        <w:top w:val="none" w:sz="0" w:space="0" w:color="auto"/>
        <w:left w:val="none" w:sz="0" w:space="0" w:color="auto"/>
        <w:bottom w:val="none" w:sz="0" w:space="0" w:color="auto"/>
        <w:right w:val="none" w:sz="0" w:space="0" w:color="auto"/>
      </w:divBdr>
    </w:div>
    <w:div w:id="1885217488">
      <w:bodyDiv w:val="1"/>
      <w:marLeft w:val="0"/>
      <w:marRight w:val="0"/>
      <w:marTop w:val="0"/>
      <w:marBottom w:val="0"/>
      <w:divBdr>
        <w:top w:val="none" w:sz="0" w:space="0" w:color="auto"/>
        <w:left w:val="none" w:sz="0" w:space="0" w:color="auto"/>
        <w:bottom w:val="none" w:sz="0" w:space="0" w:color="auto"/>
        <w:right w:val="none" w:sz="0" w:space="0" w:color="auto"/>
      </w:divBdr>
    </w:div>
    <w:div w:id="1898665208">
      <w:bodyDiv w:val="1"/>
      <w:marLeft w:val="0"/>
      <w:marRight w:val="0"/>
      <w:marTop w:val="0"/>
      <w:marBottom w:val="0"/>
      <w:divBdr>
        <w:top w:val="none" w:sz="0" w:space="0" w:color="auto"/>
        <w:left w:val="none" w:sz="0" w:space="0" w:color="auto"/>
        <w:bottom w:val="none" w:sz="0" w:space="0" w:color="auto"/>
        <w:right w:val="none" w:sz="0" w:space="0" w:color="auto"/>
      </w:divBdr>
    </w:div>
    <w:div w:id="1901595261">
      <w:bodyDiv w:val="1"/>
      <w:marLeft w:val="0"/>
      <w:marRight w:val="0"/>
      <w:marTop w:val="0"/>
      <w:marBottom w:val="0"/>
      <w:divBdr>
        <w:top w:val="none" w:sz="0" w:space="0" w:color="auto"/>
        <w:left w:val="none" w:sz="0" w:space="0" w:color="auto"/>
        <w:bottom w:val="none" w:sz="0" w:space="0" w:color="auto"/>
        <w:right w:val="none" w:sz="0" w:space="0" w:color="auto"/>
      </w:divBdr>
    </w:div>
    <w:div w:id="1908303445">
      <w:bodyDiv w:val="1"/>
      <w:marLeft w:val="0"/>
      <w:marRight w:val="0"/>
      <w:marTop w:val="0"/>
      <w:marBottom w:val="0"/>
      <w:divBdr>
        <w:top w:val="none" w:sz="0" w:space="0" w:color="auto"/>
        <w:left w:val="none" w:sz="0" w:space="0" w:color="auto"/>
        <w:bottom w:val="none" w:sz="0" w:space="0" w:color="auto"/>
        <w:right w:val="none" w:sz="0" w:space="0" w:color="auto"/>
      </w:divBdr>
    </w:div>
    <w:div w:id="1911186192">
      <w:bodyDiv w:val="1"/>
      <w:marLeft w:val="0"/>
      <w:marRight w:val="0"/>
      <w:marTop w:val="0"/>
      <w:marBottom w:val="0"/>
      <w:divBdr>
        <w:top w:val="none" w:sz="0" w:space="0" w:color="auto"/>
        <w:left w:val="none" w:sz="0" w:space="0" w:color="auto"/>
        <w:bottom w:val="none" w:sz="0" w:space="0" w:color="auto"/>
        <w:right w:val="none" w:sz="0" w:space="0" w:color="auto"/>
      </w:divBdr>
    </w:div>
    <w:div w:id="1915897070">
      <w:bodyDiv w:val="1"/>
      <w:marLeft w:val="0"/>
      <w:marRight w:val="0"/>
      <w:marTop w:val="0"/>
      <w:marBottom w:val="0"/>
      <w:divBdr>
        <w:top w:val="none" w:sz="0" w:space="0" w:color="auto"/>
        <w:left w:val="none" w:sz="0" w:space="0" w:color="auto"/>
        <w:bottom w:val="none" w:sz="0" w:space="0" w:color="auto"/>
        <w:right w:val="none" w:sz="0" w:space="0" w:color="auto"/>
      </w:divBdr>
    </w:div>
    <w:div w:id="1934166629">
      <w:bodyDiv w:val="1"/>
      <w:marLeft w:val="0"/>
      <w:marRight w:val="0"/>
      <w:marTop w:val="0"/>
      <w:marBottom w:val="0"/>
      <w:divBdr>
        <w:top w:val="none" w:sz="0" w:space="0" w:color="auto"/>
        <w:left w:val="none" w:sz="0" w:space="0" w:color="auto"/>
        <w:bottom w:val="none" w:sz="0" w:space="0" w:color="auto"/>
        <w:right w:val="none" w:sz="0" w:space="0" w:color="auto"/>
      </w:divBdr>
    </w:div>
    <w:div w:id="1935626255">
      <w:bodyDiv w:val="1"/>
      <w:marLeft w:val="0"/>
      <w:marRight w:val="0"/>
      <w:marTop w:val="0"/>
      <w:marBottom w:val="0"/>
      <w:divBdr>
        <w:top w:val="none" w:sz="0" w:space="0" w:color="auto"/>
        <w:left w:val="none" w:sz="0" w:space="0" w:color="auto"/>
        <w:bottom w:val="none" w:sz="0" w:space="0" w:color="auto"/>
        <w:right w:val="none" w:sz="0" w:space="0" w:color="auto"/>
      </w:divBdr>
    </w:div>
    <w:div w:id="1939168929">
      <w:bodyDiv w:val="1"/>
      <w:marLeft w:val="0"/>
      <w:marRight w:val="0"/>
      <w:marTop w:val="0"/>
      <w:marBottom w:val="0"/>
      <w:divBdr>
        <w:top w:val="none" w:sz="0" w:space="0" w:color="auto"/>
        <w:left w:val="none" w:sz="0" w:space="0" w:color="auto"/>
        <w:bottom w:val="none" w:sz="0" w:space="0" w:color="auto"/>
        <w:right w:val="none" w:sz="0" w:space="0" w:color="auto"/>
      </w:divBdr>
    </w:div>
    <w:div w:id="1942177733">
      <w:bodyDiv w:val="1"/>
      <w:marLeft w:val="0"/>
      <w:marRight w:val="0"/>
      <w:marTop w:val="0"/>
      <w:marBottom w:val="0"/>
      <w:divBdr>
        <w:top w:val="none" w:sz="0" w:space="0" w:color="auto"/>
        <w:left w:val="none" w:sz="0" w:space="0" w:color="auto"/>
        <w:bottom w:val="none" w:sz="0" w:space="0" w:color="auto"/>
        <w:right w:val="none" w:sz="0" w:space="0" w:color="auto"/>
      </w:divBdr>
    </w:div>
    <w:div w:id="1950160286">
      <w:bodyDiv w:val="1"/>
      <w:marLeft w:val="0"/>
      <w:marRight w:val="0"/>
      <w:marTop w:val="0"/>
      <w:marBottom w:val="0"/>
      <w:divBdr>
        <w:top w:val="none" w:sz="0" w:space="0" w:color="auto"/>
        <w:left w:val="none" w:sz="0" w:space="0" w:color="auto"/>
        <w:bottom w:val="none" w:sz="0" w:space="0" w:color="auto"/>
        <w:right w:val="none" w:sz="0" w:space="0" w:color="auto"/>
      </w:divBdr>
    </w:div>
    <w:div w:id="1957712185">
      <w:bodyDiv w:val="1"/>
      <w:marLeft w:val="0"/>
      <w:marRight w:val="0"/>
      <w:marTop w:val="0"/>
      <w:marBottom w:val="0"/>
      <w:divBdr>
        <w:top w:val="none" w:sz="0" w:space="0" w:color="auto"/>
        <w:left w:val="none" w:sz="0" w:space="0" w:color="auto"/>
        <w:bottom w:val="none" w:sz="0" w:space="0" w:color="auto"/>
        <w:right w:val="none" w:sz="0" w:space="0" w:color="auto"/>
      </w:divBdr>
    </w:div>
    <w:div w:id="1960600950">
      <w:bodyDiv w:val="1"/>
      <w:marLeft w:val="0"/>
      <w:marRight w:val="0"/>
      <w:marTop w:val="0"/>
      <w:marBottom w:val="0"/>
      <w:divBdr>
        <w:top w:val="none" w:sz="0" w:space="0" w:color="auto"/>
        <w:left w:val="none" w:sz="0" w:space="0" w:color="auto"/>
        <w:bottom w:val="none" w:sz="0" w:space="0" w:color="auto"/>
        <w:right w:val="none" w:sz="0" w:space="0" w:color="auto"/>
      </w:divBdr>
    </w:div>
    <w:div w:id="1962421544">
      <w:bodyDiv w:val="1"/>
      <w:marLeft w:val="0"/>
      <w:marRight w:val="0"/>
      <w:marTop w:val="0"/>
      <w:marBottom w:val="0"/>
      <w:divBdr>
        <w:top w:val="none" w:sz="0" w:space="0" w:color="auto"/>
        <w:left w:val="none" w:sz="0" w:space="0" w:color="auto"/>
        <w:bottom w:val="none" w:sz="0" w:space="0" w:color="auto"/>
        <w:right w:val="none" w:sz="0" w:space="0" w:color="auto"/>
      </w:divBdr>
    </w:div>
    <w:div w:id="1974362190">
      <w:bodyDiv w:val="1"/>
      <w:marLeft w:val="0"/>
      <w:marRight w:val="0"/>
      <w:marTop w:val="0"/>
      <w:marBottom w:val="0"/>
      <w:divBdr>
        <w:top w:val="none" w:sz="0" w:space="0" w:color="auto"/>
        <w:left w:val="none" w:sz="0" w:space="0" w:color="auto"/>
        <w:bottom w:val="none" w:sz="0" w:space="0" w:color="auto"/>
        <w:right w:val="none" w:sz="0" w:space="0" w:color="auto"/>
      </w:divBdr>
    </w:div>
    <w:div w:id="1989898334">
      <w:bodyDiv w:val="1"/>
      <w:marLeft w:val="0"/>
      <w:marRight w:val="0"/>
      <w:marTop w:val="0"/>
      <w:marBottom w:val="0"/>
      <w:divBdr>
        <w:top w:val="none" w:sz="0" w:space="0" w:color="auto"/>
        <w:left w:val="none" w:sz="0" w:space="0" w:color="auto"/>
        <w:bottom w:val="none" w:sz="0" w:space="0" w:color="auto"/>
        <w:right w:val="none" w:sz="0" w:space="0" w:color="auto"/>
      </w:divBdr>
    </w:div>
    <w:div w:id="1991518147">
      <w:bodyDiv w:val="1"/>
      <w:marLeft w:val="0"/>
      <w:marRight w:val="0"/>
      <w:marTop w:val="0"/>
      <w:marBottom w:val="0"/>
      <w:divBdr>
        <w:top w:val="none" w:sz="0" w:space="0" w:color="auto"/>
        <w:left w:val="none" w:sz="0" w:space="0" w:color="auto"/>
        <w:bottom w:val="none" w:sz="0" w:space="0" w:color="auto"/>
        <w:right w:val="none" w:sz="0" w:space="0" w:color="auto"/>
      </w:divBdr>
    </w:div>
    <w:div w:id="2019038800">
      <w:bodyDiv w:val="1"/>
      <w:marLeft w:val="0"/>
      <w:marRight w:val="0"/>
      <w:marTop w:val="0"/>
      <w:marBottom w:val="0"/>
      <w:divBdr>
        <w:top w:val="none" w:sz="0" w:space="0" w:color="auto"/>
        <w:left w:val="none" w:sz="0" w:space="0" w:color="auto"/>
        <w:bottom w:val="none" w:sz="0" w:space="0" w:color="auto"/>
        <w:right w:val="none" w:sz="0" w:space="0" w:color="auto"/>
      </w:divBdr>
    </w:div>
    <w:div w:id="2029520785">
      <w:bodyDiv w:val="1"/>
      <w:marLeft w:val="0"/>
      <w:marRight w:val="0"/>
      <w:marTop w:val="0"/>
      <w:marBottom w:val="0"/>
      <w:divBdr>
        <w:top w:val="none" w:sz="0" w:space="0" w:color="auto"/>
        <w:left w:val="none" w:sz="0" w:space="0" w:color="auto"/>
        <w:bottom w:val="none" w:sz="0" w:space="0" w:color="auto"/>
        <w:right w:val="none" w:sz="0" w:space="0" w:color="auto"/>
      </w:divBdr>
    </w:div>
    <w:div w:id="2050762921">
      <w:bodyDiv w:val="1"/>
      <w:marLeft w:val="0"/>
      <w:marRight w:val="0"/>
      <w:marTop w:val="0"/>
      <w:marBottom w:val="0"/>
      <w:divBdr>
        <w:top w:val="none" w:sz="0" w:space="0" w:color="auto"/>
        <w:left w:val="none" w:sz="0" w:space="0" w:color="auto"/>
        <w:bottom w:val="none" w:sz="0" w:space="0" w:color="auto"/>
        <w:right w:val="none" w:sz="0" w:space="0" w:color="auto"/>
      </w:divBdr>
    </w:div>
    <w:div w:id="2055688850">
      <w:bodyDiv w:val="1"/>
      <w:marLeft w:val="0"/>
      <w:marRight w:val="0"/>
      <w:marTop w:val="0"/>
      <w:marBottom w:val="0"/>
      <w:divBdr>
        <w:top w:val="none" w:sz="0" w:space="0" w:color="auto"/>
        <w:left w:val="none" w:sz="0" w:space="0" w:color="auto"/>
        <w:bottom w:val="none" w:sz="0" w:space="0" w:color="auto"/>
        <w:right w:val="none" w:sz="0" w:space="0" w:color="auto"/>
      </w:divBdr>
    </w:div>
    <w:div w:id="2075732108">
      <w:bodyDiv w:val="1"/>
      <w:marLeft w:val="0"/>
      <w:marRight w:val="0"/>
      <w:marTop w:val="0"/>
      <w:marBottom w:val="0"/>
      <w:divBdr>
        <w:top w:val="none" w:sz="0" w:space="0" w:color="auto"/>
        <w:left w:val="none" w:sz="0" w:space="0" w:color="auto"/>
        <w:bottom w:val="none" w:sz="0" w:space="0" w:color="auto"/>
        <w:right w:val="none" w:sz="0" w:space="0" w:color="auto"/>
      </w:divBdr>
    </w:div>
    <w:div w:id="2103338397">
      <w:bodyDiv w:val="1"/>
      <w:marLeft w:val="0"/>
      <w:marRight w:val="0"/>
      <w:marTop w:val="0"/>
      <w:marBottom w:val="0"/>
      <w:divBdr>
        <w:top w:val="none" w:sz="0" w:space="0" w:color="auto"/>
        <w:left w:val="none" w:sz="0" w:space="0" w:color="auto"/>
        <w:bottom w:val="none" w:sz="0" w:space="0" w:color="auto"/>
        <w:right w:val="none" w:sz="0" w:space="0" w:color="auto"/>
      </w:divBdr>
    </w:div>
    <w:div w:id="2107117779">
      <w:bodyDiv w:val="1"/>
      <w:marLeft w:val="0"/>
      <w:marRight w:val="0"/>
      <w:marTop w:val="0"/>
      <w:marBottom w:val="0"/>
      <w:divBdr>
        <w:top w:val="none" w:sz="0" w:space="0" w:color="auto"/>
        <w:left w:val="none" w:sz="0" w:space="0" w:color="auto"/>
        <w:bottom w:val="none" w:sz="0" w:space="0" w:color="auto"/>
        <w:right w:val="none" w:sz="0" w:space="0" w:color="auto"/>
      </w:divBdr>
    </w:div>
    <w:div w:id="2119792586">
      <w:bodyDiv w:val="1"/>
      <w:marLeft w:val="0"/>
      <w:marRight w:val="0"/>
      <w:marTop w:val="0"/>
      <w:marBottom w:val="0"/>
      <w:divBdr>
        <w:top w:val="none" w:sz="0" w:space="0" w:color="auto"/>
        <w:left w:val="none" w:sz="0" w:space="0" w:color="auto"/>
        <w:bottom w:val="none" w:sz="0" w:space="0" w:color="auto"/>
        <w:right w:val="none" w:sz="0" w:space="0" w:color="auto"/>
      </w:divBdr>
    </w:div>
    <w:div w:id="2132507954">
      <w:bodyDiv w:val="1"/>
      <w:marLeft w:val="0"/>
      <w:marRight w:val="0"/>
      <w:marTop w:val="0"/>
      <w:marBottom w:val="0"/>
      <w:divBdr>
        <w:top w:val="none" w:sz="0" w:space="0" w:color="auto"/>
        <w:left w:val="none" w:sz="0" w:space="0" w:color="auto"/>
        <w:bottom w:val="none" w:sz="0" w:space="0" w:color="auto"/>
        <w:right w:val="none" w:sz="0" w:space="0" w:color="auto"/>
      </w:divBdr>
    </w:div>
    <w:div w:id="2135561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5AAB9-52E0-4685-B054-F8A97A065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128</Pages>
  <Words>16702</Words>
  <Characters>95206</Characters>
  <Application>Microsoft Office Word</Application>
  <DocSecurity>0</DocSecurity>
  <Lines>793</Lines>
  <Paragraphs>223</Paragraphs>
  <ScaleCrop>false</ScaleCrop>
  <Company/>
  <LinksUpToDate>false</LinksUpToDate>
  <CharactersWithSpaces>111685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Lenovo</cp:lastModifiedBy>
  <cp:revision>41</cp:revision>
  <cp:lastPrinted>2022-08-16T05:03:00Z</cp:lastPrinted>
  <dcterms:created xsi:type="dcterms:W3CDTF">2022-08-08T06:33:00Z</dcterms:created>
  <dcterms:modified xsi:type="dcterms:W3CDTF">2022-08-24T06:47:00Z</dcterms:modified>
</cp:coreProperties>
</file>