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9B6" w:rsidRPr="000E387A" w:rsidRDefault="006573E7">
      <w:pPr>
        <w:spacing w:before="200" w:after="1000" w:line="560" w:lineRule="exact"/>
        <w:jc w:val="center"/>
        <w:rPr>
          <w:rFonts w:ascii="宋体" w:eastAsia="宋体" w:hAnsi="宋体" w:cs="宋体"/>
          <w:szCs w:val="21"/>
        </w:rPr>
      </w:pPr>
      <w:r w:rsidRPr="000E387A">
        <w:rPr>
          <w:rFonts w:ascii="宋体" w:eastAsia="宋体" w:hAnsi="宋体" w:cs="宋体"/>
          <w:szCs w:val="21"/>
        </w:rPr>
        <w:t>证券代码：000936              证券简称：华西股份               公告编号：2022-039</w:t>
      </w:r>
    </w:p>
    <w:p w:rsidR="00DD59B6" w:rsidRDefault="006573E7">
      <w:pPr>
        <w:spacing w:after="1000" w:line="400" w:lineRule="exact"/>
        <w:jc w:val="center"/>
        <w:rPr>
          <w:rFonts w:ascii="宋体" w:eastAsia="宋体" w:hAnsi="宋体" w:cs="宋体"/>
          <w:b/>
          <w:bCs/>
          <w:sz w:val="36"/>
          <w:szCs w:val="36"/>
        </w:rPr>
      </w:pPr>
      <w:r>
        <w:rPr>
          <w:rFonts w:ascii="宋体" w:eastAsia="宋体" w:hAnsi="宋体" w:cs="宋体"/>
          <w:b/>
          <w:bCs/>
          <w:sz w:val="36"/>
          <w:szCs w:val="36"/>
        </w:rPr>
        <w:t>江苏华西村股份有限公司2022年半年度报告摘要</w:t>
      </w:r>
    </w:p>
    <w:p w:rsidR="00DD59B6" w:rsidRDefault="006573E7">
      <w:pPr>
        <w:pStyle w:val="2"/>
        <w:spacing w:before="300" w:after="300" w:line="320" w:lineRule="exact"/>
        <w:rPr>
          <w:rFonts w:ascii="宋体" w:eastAsia="宋体" w:hAnsi="宋体" w:cs="宋体"/>
          <w:b/>
          <w:bCs/>
          <w:sz w:val="24"/>
          <w:szCs w:val="24"/>
        </w:rPr>
      </w:pPr>
      <w:bookmarkStart w:id="0" w:name="_Toc988889"/>
      <w:r>
        <w:rPr>
          <w:rFonts w:ascii="宋体" w:eastAsia="宋体" w:hAnsi="宋体" w:cs="宋体"/>
          <w:b/>
          <w:bCs/>
          <w:sz w:val="24"/>
          <w:szCs w:val="24"/>
        </w:rPr>
        <w:t>一、重要提示</w:t>
      </w:r>
      <w:bookmarkEnd w:id="0"/>
    </w:p>
    <w:p w:rsidR="00DD59B6" w:rsidRDefault="006573E7">
      <w:pPr>
        <w:spacing w:before="40" w:after="40" w:line="240" w:lineRule="exact"/>
        <w:rPr>
          <w:rFonts w:ascii="宋体" w:eastAsia="宋体" w:hAnsi="宋体" w:cs="宋体"/>
          <w:sz w:val="18"/>
          <w:szCs w:val="18"/>
        </w:rPr>
      </w:pPr>
      <w:proofErr w:type="gramStart"/>
      <w:r>
        <w:rPr>
          <w:rFonts w:ascii="宋体" w:eastAsia="宋体" w:hAnsi="宋体" w:cs="宋体"/>
          <w:sz w:val="18"/>
          <w:szCs w:val="18"/>
        </w:rPr>
        <w:t>本半年度</w:t>
      </w:r>
      <w:proofErr w:type="gramEnd"/>
      <w:r>
        <w:rPr>
          <w:rFonts w:ascii="宋体" w:eastAsia="宋体" w:hAnsi="宋体" w:cs="宋体"/>
          <w:sz w:val="18"/>
          <w:szCs w:val="18"/>
        </w:rPr>
        <w:t>报告摘要来自半年度报告全文，为全面了解本公司的经营成果、财务状况及未来发展规划，投资者应当到证监会指定媒体仔细阅读半年度报告全文。</w:t>
      </w:r>
    </w:p>
    <w:p w:rsidR="00DD59B6" w:rsidRDefault="006573E7">
      <w:pPr>
        <w:spacing w:line="240" w:lineRule="exact"/>
        <w:rPr>
          <w:rFonts w:ascii="宋体" w:eastAsia="宋体" w:hAnsi="宋体" w:cs="宋体"/>
          <w:sz w:val="18"/>
          <w:szCs w:val="18"/>
        </w:rPr>
      </w:pPr>
      <w:r>
        <w:rPr>
          <w:rFonts w:ascii="宋体" w:eastAsia="宋体" w:hAnsi="宋体" w:cs="宋体"/>
          <w:sz w:val="18"/>
          <w:szCs w:val="18"/>
        </w:rPr>
        <w:t>所有董事均</w:t>
      </w:r>
      <w:proofErr w:type="gramStart"/>
      <w:r>
        <w:rPr>
          <w:rFonts w:ascii="宋体" w:eastAsia="宋体" w:hAnsi="宋体" w:cs="宋体"/>
          <w:sz w:val="18"/>
          <w:szCs w:val="18"/>
        </w:rPr>
        <w:t>已出席</w:t>
      </w:r>
      <w:proofErr w:type="gramEnd"/>
      <w:r>
        <w:rPr>
          <w:rFonts w:ascii="宋体" w:eastAsia="宋体" w:hAnsi="宋体" w:cs="宋体"/>
          <w:sz w:val="18"/>
          <w:szCs w:val="18"/>
        </w:rPr>
        <w:t>了审议本报告的董事会会议。</w:t>
      </w:r>
    </w:p>
    <w:p w:rsidR="00DD59B6" w:rsidRDefault="006573E7">
      <w:pPr>
        <w:spacing w:before="100" w:after="100" w:line="240" w:lineRule="exact"/>
        <w:rPr>
          <w:rFonts w:ascii="宋体" w:eastAsia="宋体" w:hAnsi="宋体" w:cs="宋体"/>
          <w:sz w:val="18"/>
          <w:szCs w:val="18"/>
        </w:rPr>
      </w:pPr>
      <w:r>
        <w:rPr>
          <w:rFonts w:ascii="宋体" w:eastAsia="宋体" w:hAnsi="宋体" w:cs="宋体"/>
          <w:sz w:val="18"/>
          <w:szCs w:val="18"/>
        </w:rPr>
        <w:t>非标准审计意见提示</w:t>
      </w:r>
    </w:p>
    <w:p w:rsidR="00DD59B6" w:rsidRDefault="006573E7">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D59B6" w:rsidRDefault="006573E7">
      <w:pPr>
        <w:spacing w:before="100" w:after="40" w:line="240" w:lineRule="exact"/>
        <w:rPr>
          <w:rFonts w:ascii="宋体" w:eastAsia="宋体" w:hAnsi="宋体" w:cs="宋体"/>
          <w:sz w:val="18"/>
          <w:szCs w:val="18"/>
        </w:rPr>
      </w:pPr>
      <w:r>
        <w:rPr>
          <w:rFonts w:ascii="宋体" w:eastAsia="宋体" w:hAnsi="宋体" w:cs="宋体"/>
          <w:sz w:val="18"/>
          <w:szCs w:val="18"/>
        </w:rPr>
        <w:t>董事会审议的报告期普通股利润分配预案或公积金转增股本预案</w:t>
      </w:r>
    </w:p>
    <w:p w:rsidR="00DD59B6" w:rsidRDefault="006573E7">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公司计划</w:t>
      </w:r>
      <w:proofErr w:type="gramStart"/>
      <w:r>
        <w:rPr>
          <w:rFonts w:ascii="宋体" w:eastAsia="宋体" w:hAnsi="宋体" w:cs="宋体"/>
          <w:sz w:val="18"/>
          <w:szCs w:val="18"/>
        </w:rPr>
        <w:t>不</w:t>
      </w:r>
      <w:proofErr w:type="gramEnd"/>
      <w:r>
        <w:rPr>
          <w:rFonts w:ascii="宋体" w:eastAsia="宋体" w:hAnsi="宋体" w:cs="宋体"/>
          <w:sz w:val="18"/>
          <w:szCs w:val="18"/>
        </w:rPr>
        <w:t>派发现金红利，不送红股，不以公积金转增股本。</w:t>
      </w:r>
    </w:p>
    <w:p w:rsidR="00DD59B6" w:rsidRDefault="006573E7">
      <w:pPr>
        <w:spacing w:before="100" w:after="100" w:line="240" w:lineRule="exact"/>
        <w:rPr>
          <w:rFonts w:ascii="宋体" w:eastAsia="宋体" w:hAnsi="宋体" w:cs="宋体"/>
          <w:sz w:val="18"/>
          <w:szCs w:val="18"/>
        </w:rPr>
      </w:pPr>
      <w:r>
        <w:rPr>
          <w:rFonts w:ascii="宋体" w:eastAsia="宋体" w:hAnsi="宋体" w:cs="宋体"/>
          <w:sz w:val="18"/>
          <w:szCs w:val="18"/>
        </w:rPr>
        <w:t>董事会决议通过的本报告期优先股利润分配预案</w:t>
      </w:r>
    </w:p>
    <w:p w:rsidR="00DD59B6" w:rsidRDefault="006573E7">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D59B6" w:rsidRDefault="006573E7">
      <w:pPr>
        <w:pStyle w:val="2"/>
        <w:spacing w:before="300" w:after="300" w:line="320" w:lineRule="exact"/>
        <w:rPr>
          <w:rFonts w:ascii="宋体" w:eastAsia="宋体" w:hAnsi="宋体" w:cs="宋体"/>
          <w:b/>
          <w:bCs/>
          <w:sz w:val="24"/>
          <w:szCs w:val="24"/>
        </w:rPr>
      </w:pPr>
      <w:bookmarkStart w:id="1" w:name="_Toc988890"/>
      <w:r>
        <w:rPr>
          <w:rFonts w:ascii="宋体" w:eastAsia="宋体" w:hAnsi="宋体" w:cs="宋体"/>
          <w:b/>
          <w:bCs/>
          <w:sz w:val="24"/>
          <w:szCs w:val="24"/>
        </w:rPr>
        <w:t>二、公司基本情况</w:t>
      </w:r>
      <w:bookmarkEnd w:id="1"/>
    </w:p>
    <w:p w:rsidR="00DD59B6" w:rsidRDefault="006573E7">
      <w:pPr>
        <w:pStyle w:val="3"/>
        <w:spacing w:line="280" w:lineRule="exact"/>
        <w:jc w:val="left"/>
        <w:rPr>
          <w:rFonts w:ascii="宋体" w:hAnsi="宋体" w:cs="宋体"/>
          <w:b/>
          <w:bCs/>
        </w:rPr>
      </w:pPr>
      <w:bookmarkStart w:id="2" w:name="_Toc988891"/>
      <w:r>
        <w:rPr>
          <w:rFonts w:ascii="宋体" w:hAnsi="宋体" w:cs="宋体"/>
          <w:b/>
          <w:bCs/>
        </w:rPr>
        <w:t>1、公司简介</w:t>
      </w:r>
      <w:bookmarkEnd w:id="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2142"/>
        <w:gridCol w:w="1071"/>
        <w:gridCol w:w="1071"/>
        <w:gridCol w:w="2142"/>
      </w:tblGrid>
      <w:tr w:rsidR="00DD59B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股票简称</w:t>
            </w:r>
          </w:p>
        </w:tc>
        <w:tc>
          <w:tcPr>
            <w:tcW w:w="2142"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华西股份</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股票代码</w:t>
            </w:r>
          </w:p>
        </w:tc>
        <w:tc>
          <w:tcPr>
            <w:tcW w:w="2142"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000936</w:t>
            </w:r>
          </w:p>
        </w:tc>
      </w:tr>
      <w:tr w:rsidR="00DD59B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股票上市交易所</w:t>
            </w:r>
          </w:p>
        </w:tc>
        <w:tc>
          <w:tcPr>
            <w:tcW w:w="6426" w:type="dxa"/>
            <w:gridSpan w:val="4"/>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DD59B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jc w:val="center"/>
              <w:rPr>
                <w:rFonts w:ascii="宋体" w:eastAsia="宋体" w:hAnsi="宋体" w:cs="宋体"/>
                <w:sz w:val="18"/>
                <w:szCs w:val="18"/>
              </w:rPr>
            </w:pPr>
            <w:r>
              <w:rPr>
                <w:rFonts w:ascii="宋体" w:eastAsia="宋体" w:hAnsi="宋体" w:cs="宋体"/>
                <w:sz w:val="18"/>
                <w:szCs w:val="18"/>
              </w:rPr>
              <w:t>联系人和联系方式</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jc w:val="center"/>
              <w:rPr>
                <w:rFonts w:ascii="宋体" w:eastAsia="宋体" w:hAnsi="宋体" w:cs="宋体"/>
                <w:sz w:val="18"/>
                <w:szCs w:val="18"/>
              </w:rPr>
            </w:pPr>
            <w:r>
              <w:rPr>
                <w:rFonts w:ascii="宋体" w:eastAsia="宋体" w:hAnsi="宋体" w:cs="宋体"/>
                <w:sz w:val="18"/>
                <w:szCs w:val="18"/>
              </w:rPr>
              <w:t>董事会秘书</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jc w:val="center"/>
              <w:rPr>
                <w:rFonts w:ascii="宋体" w:eastAsia="宋体" w:hAnsi="宋体" w:cs="宋体"/>
                <w:sz w:val="18"/>
                <w:szCs w:val="18"/>
              </w:rPr>
            </w:pPr>
            <w:r>
              <w:rPr>
                <w:rFonts w:ascii="宋体" w:eastAsia="宋体" w:hAnsi="宋体" w:cs="宋体"/>
                <w:sz w:val="18"/>
                <w:szCs w:val="18"/>
              </w:rPr>
              <w:t>证券事务代表</w:t>
            </w:r>
          </w:p>
        </w:tc>
      </w:tr>
      <w:tr w:rsidR="00DD59B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姓名</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王学良</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proofErr w:type="gramStart"/>
            <w:r>
              <w:rPr>
                <w:rFonts w:ascii="宋体" w:eastAsia="宋体" w:hAnsi="宋体" w:cs="宋体"/>
                <w:sz w:val="18"/>
                <w:szCs w:val="18"/>
              </w:rPr>
              <w:t>查建玉</w:t>
            </w:r>
            <w:proofErr w:type="gramEnd"/>
          </w:p>
        </w:tc>
      </w:tr>
      <w:tr w:rsidR="00DD59B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办公地址</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江苏省江阴市华西村南苑宾馆9号楼</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江苏省江阴市华西村南苑宾馆9号楼</w:t>
            </w:r>
          </w:p>
        </w:tc>
      </w:tr>
      <w:tr w:rsidR="00DD59B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电话</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0510-86217188</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0510-86217149</w:t>
            </w:r>
          </w:p>
        </w:tc>
      </w:tr>
      <w:tr w:rsidR="00DD59B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电子信箱</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wangxl@cnhuaxicun.com</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zhajy@cnhuaxicun.com</w:t>
            </w:r>
          </w:p>
        </w:tc>
      </w:tr>
    </w:tbl>
    <w:p w:rsidR="00DD59B6" w:rsidRDefault="006573E7">
      <w:pPr>
        <w:pStyle w:val="3"/>
        <w:spacing w:line="280" w:lineRule="exact"/>
        <w:jc w:val="left"/>
        <w:rPr>
          <w:rFonts w:ascii="宋体" w:hAnsi="宋体" w:cs="宋体"/>
          <w:b/>
          <w:bCs/>
        </w:rPr>
      </w:pPr>
      <w:bookmarkStart w:id="3" w:name="_Toc988892"/>
      <w:r>
        <w:rPr>
          <w:rFonts w:ascii="宋体" w:hAnsi="宋体" w:cs="宋体"/>
          <w:b/>
          <w:bCs/>
        </w:rPr>
        <w:t>2、主要财务数据和财务指标</w:t>
      </w:r>
      <w:bookmarkEnd w:id="3"/>
    </w:p>
    <w:p w:rsidR="00DD59B6" w:rsidRDefault="006573E7">
      <w:pPr>
        <w:spacing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855"/>
        <w:gridCol w:w="1928"/>
        <w:gridCol w:w="1928"/>
        <w:gridCol w:w="1928"/>
      </w:tblGrid>
      <w:tr w:rsidR="00DD59B6">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DD59B6"/>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本报告期比上年同期增减</w:t>
            </w:r>
          </w:p>
        </w:tc>
      </w:tr>
      <w:tr w:rsidR="00DD59B6">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营业收入（元）</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1,477,391,014.14</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1,210,054,873.58</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22.09%</w:t>
            </w:r>
          </w:p>
        </w:tc>
      </w:tr>
      <w:tr w:rsidR="00DD59B6">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98,728,051.07</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392,522,831.50</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-74.85%</w:t>
            </w:r>
          </w:p>
        </w:tc>
      </w:tr>
      <w:tr w:rsidR="00DD59B6">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98,203,482.54</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391,937,509.91</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-74.94%</w:t>
            </w:r>
          </w:p>
        </w:tc>
      </w:tr>
      <w:tr w:rsidR="00DD59B6">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lastRenderedPageBreak/>
              <w:t>经营活动产生的现金流量净额（元）</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-92,450,866.83</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22,541,197.53</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-510.14%</w:t>
            </w:r>
          </w:p>
        </w:tc>
      </w:tr>
      <w:tr w:rsidR="00DD59B6">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基本每股收益（元/股）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0.44</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-75.00%</w:t>
            </w:r>
          </w:p>
        </w:tc>
      </w:tr>
      <w:tr w:rsidR="00DD59B6">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稀释每股收益（元/股）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0.44</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-75.00%</w:t>
            </w:r>
          </w:p>
        </w:tc>
      </w:tr>
      <w:tr w:rsidR="00DD59B6">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1.95%</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8.01%</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DD4F79">
            <w:pPr>
              <w:spacing w:line="240" w:lineRule="exact"/>
              <w:jc w:val="right"/>
              <w:rPr>
                <w:rFonts w:ascii="宋体" w:eastAsia="宋体" w:hAnsi="宋体" w:cs="宋体"/>
                <w:sz w:val="18"/>
                <w:szCs w:val="18"/>
              </w:rPr>
            </w:pPr>
            <w:r>
              <w:rPr>
                <w:rFonts w:ascii="宋体" w:eastAsia="宋体" w:hAnsi="宋体" w:cs="宋体"/>
                <w:sz w:val="18"/>
                <w:szCs w:val="18"/>
              </w:rPr>
              <w:t>减少了</w:t>
            </w:r>
            <w:r>
              <w:rPr>
                <w:rFonts w:ascii="宋体" w:eastAsia="宋体" w:hAnsi="宋体" w:cs="宋体" w:hint="eastAsia"/>
                <w:sz w:val="18"/>
                <w:szCs w:val="18"/>
              </w:rPr>
              <w:t>6.06个百分点</w:t>
            </w:r>
          </w:p>
        </w:tc>
      </w:tr>
      <w:tr w:rsidR="00DD59B6">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DD59B6"/>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jc w:val="center"/>
              <w:rPr>
                <w:rFonts w:ascii="宋体" w:eastAsia="宋体" w:hAnsi="宋体" w:cs="宋体"/>
                <w:sz w:val="18"/>
                <w:szCs w:val="18"/>
              </w:rPr>
            </w:pPr>
            <w:r>
              <w:rPr>
                <w:rFonts w:ascii="宋体" w:eastAsia="宋体" w:hAnsi="宋体" w:cs="宋体"/>
                <w:sz w:val="18"/>
                <w:szCs w:val="18"/>
              </w:rPr>
              <w:t>上年度末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DD59B6">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总资产（元）</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6,599,481,653.83</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6,723,135,632.50</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-1.84%</w:t>
            </w:r>
          </w:p>
        </w:tc>
      </w:tr>
      <w:tr w:rsidR="00DD59B6">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归属于上市公司股东的净资产（元）</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5,073,810,659.81</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5,006,443,695.47</w:t>
            </w:r>
          </w:p>
        </w:tc>
        <w:tc>
          <w:tcPr>
            <w:tcW w:w="1928"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1.35%</w:t>
            </w:r>
          </w:p>
        </w:tc>
      </w:tr>
    </w:tbl>
    <w:p w:rsidR="00DD59B6" w:rsidRDefault="006573E7">
      <w:pPr>
        <w:pStyle w:val="3"/>
        <w:spacing w:line="280" w:lineRule="exact"/>
        <w:jc w:val="left"/>
        <w:rPr>
          <w:rFonts w:ascii="宋体" w:hAnsi="宋体" w:cs="宋体"/>
          <w:b/>
          <w:bCs/>
        </w:rPr>
      </w:pPr>
      <w:bookmarkStart w:id="4" w:name="_Toc988893"/>
      <w:r>
        <w:rPr>
          <w:rFonts w:ascii="宋体" w:hAnsi="宋体" w:cs="宋体"/>
          <w:b/>
          <w:bCs/>
        </w:rPr>
        <w:t>3、公司股东数量及持股情况</w:t>
      </w:r>
      <w:bookmarkEnd w:id="4"/>
    </w:p>
    <w:p w:rsidR="00DD59B6" w:rsidRDefault="006573E7">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234"/>
        <w:gridCol w:w="1134"/>
        <w:gridCol w:w="774"/>
        <w:gridCol w:w="1071"/>
        <w:gridCol w:w="2142"/>
        <w:gridCol w:w="1071"/>
        <w:gridCol w:w="1071"/>
      </w:tblGrid>
      <w:tr w:rsidR="00DD59B6">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报告期末普通股股东总数</w:t>
            </w:r>
          </w:p>
        </w:tc>
        <w:tc>
          <w:tcPr>
            <w:tcW w:w="2142" w:type="dxa"/>
            <w:gridSpan w:val="3"/>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56,794</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rsidP="00186ECD">
            <w:pPr>
              <w:spacing w:before="40" w:after="40" w:line="240" w:lineRule="exact"/>
              <w:rPr>
                <w:rFonts w:ascii="宋体" w:eastAsia="宋体" w:hAnsi="宋体" w:cs="宋体"/>
                <w:sz w:val="18"/>
                <w:szCs w:val="18"/>
              </w:rPr>
            </w:pPr>
            <w:r>
              <w:rPr>
                <w:rFonts w:ascii="宋体" w:eastAsia="宋体" w:hAnsi="宋体" w:cs="宋体"/>
                <w:sz w:val="18"/>
                <w:szCs w:val="18"/>
              </w:rPr>
              <w:t>报告期末表决权恢复的优先股股东总数</w:t>
            </w:r>
            <w:bookmarkStart w:id="5" w:name="_GoBack"/>
            <w:bookmarkEnd w:id="5"/>
          </w:p>
        </w:tc>
        <w:tc>
          <w:tcPr>
            <w:tcW w:w="2142"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DD59B6">
        <w:trPr>
          <w:trHeight w:val="240"/>
        </w:trPr>
        <w:tc>
          <w:tcPr>
            <w:tcW w:w="9639"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jc w:val="center"/>
              <w:rPr>
                <w:rFonts w:ascii="宋体" w:eastAsia="宋体" w:hAnsi="宋体" w:cs="宋体"/>
                <w:sz w:val="18"/>
                <w:szCs w:val="18"/>
              </w:rPr>
            </w:pPr>
            <w:r>
              <w:rPr>
                <w:rFonts w:ascii="宋体" w:eastAsia="宋体" w:hAnsi="宋体" w:cs="宋体"/>
                <w:sz w:val="18"/>
                <w:szCs w:val="18"/>
              </w:rPr>
              <w:t>前10名股东持股情况</w:t>
            </w:r>
          </w:p>
        </w:tc>
      </w:tr>
      <w:tr w:rsidR="00DD59B6" w:rsidTr="001F0000">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305"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jc w:val="center"/>
              <w:rPr>
                <w:rFonts w:ascii="宋体" w:eastAsia="宋体" w:hAnsi="宋体" w:cs="宋体"/>
                <w:sz w:val="18"/>
                <w:szCs w:val="18"/>
              </w:rPr>
            </w:pPr>
            <w:r>
              <w:rPr>
                <w:rFonts w:ascii="宋体" w:eastAsia="宋体" w:hAnsi="宋体" w:cs="宋体"/>
                <w:sz w:val="18"/>
                <w:szCs w:val="18"/>
              </w:rPr>
              <w:t>股东性质</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845"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jc w:val="center"/>
              <w:rPr>
                <w:rFonts w:ascii="宋体" w:eastAsia="宋体" w:hAnsi="宋体" w:cs="宋体"/>
                <w:sz w:val="18"/>
                <w:szCs w:val="18"/>
              </w:rPr>
            </w:pPr>
            <w:r>
              <w:rPr>
                <w:rFonts w:ascii="宋体" w:eastAsia="宋体" w:hAnsi="宋体" w:cs="宋体"/>
                <w:sz w:val="18"/>
                <w:szCs w:val="18"/>
              </w:rPr>
              <w:t>持股数量</w:t>
            </w:r>
          </w:p>
        </w:tc>
        <w:tc>
          <w:tcPr>
            <w:tcW w:w="214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jc w:val="center"/>
              <w:rPr>
                <w:rFonts w:ascii="宋体" w:eastAsia="宋体" w:hAnsi="宋体" w:cs="宋体"/>
                <w:sz w:val="18"/>
                <w:szCs w:val="18"/>
              </w:rPr>
            </w:pPr>
            <w:r>
              <w:rPr>
                <w:rFonts w:ascii="宋体" w:eastAsia="宋体" w:hAnsi="宋体" w:cs="宋体"/>
                <w:sz w:val="18"/>
                <w:szCs w:val="18"/>
              </w:rPr>
              <w:t>持有有限</w:t>
            </w:r>
            <w:proofErr w:type="gramStart"/>
            <w:r>
              <w:rPr>
                <w:rFonts w:ascii="宋体" w:eastAsia="宋体" w:hAnsi="宋体" w:cs="宋体"/>
                <w:sz w:val="18"/>
                <w:szCs w:val="18"/>
              </w:rPr>
              <w:t>售条件</w:t>
            </w:r>
            <w:proofErr w:type="gramEnd"/>
            <w:r>
              <w:rPr>
                <w:rFonts w:ascii="宋体" w:eastAsia="宋体" w:hAnsi="宋体" w:cs="宋体"/>
                <w:sz w:val="18"/>
                <w:szCs w:val="18"/>
              </w:rPr>
              <w:t>的股份数量</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DD59B6" w:rsidTr="001F0000">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DD59B6"/>
        </w:tc>
        <w:tc>
          <w:tcPr>
            <w:tcW w:w="1305"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DD59B6"/>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DD59B6"/>
        </w:tc>
        <w:tc>
          <w:tcPr>
            <w:tcW w:w="1845"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DD59B6"/>
        </w:tc>
        <w:tc>
          <w:tcPr>
            <w:tcW w:w="214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DD59B6"/>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jc w:val="center"/>
              <w:rPr>
                <w:rFonts w:ascii="宋体" w:eastAsia="宋体" w:hAnsi="宋体" w:cs="宋体"/>
                <w:sz w:val="18"/>
                <w:szCs w:val="18"/>
              </w:rPr>
            </w:pPr>
            <w:r>
              <w:rPr>
                <w:rFonts w:ascii="宋体" w:eastAsia="宋体" w:hAnsi="宋体" w:cs="宋体"/>
                <w:sz w:val="18"/>
                <w:szCs w:val="18"/>
              </w:rPr>
              <w:t>股份状态</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DD59B6" w:rsidTr="001F000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305"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境内非国有法人</w:t>
            </w:r>
          </w:p>
        </w:tc>
        <w:tc>
          <w:tcPr>
            <w:tcW w:w="1134"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40.59%</w:t>
            </w:r>
          </w:p>
        </w:tc>
        <w:tc>
          <w:tcPr>
            <w:tcW w:w="1845"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359,629,483.00</w:t>
            </w:r>
          </w:p>
        </w:tc>
        <w:tc>
          <w:tcPr>
            <w:tcW w:w="2142"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质押</w:t>
            </w:r>
          </w:p>
        </w:tc>
        <w:tc>
          <w:tcPr>
            <w:tcW w:w="1071"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359,629,483</w:t>
            </w:r>
          </w:p>
        </w:tc>
      </w:tr>
      <w:tr w:rsidR="00DD59B6" w:rsidTr="001F000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陈朝晖</w:t>
            </w:r>
          </w:p>
        </w:tc>
        <w:tc>
          <w:tcPr>
            <w:tcW w:w="1305"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134"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1.25%</w:t>
            </w:r>
          </w:p>
        </w:tc>
        <w:tc>
          <w:tcPr>
            <w:tcW w:w="1845"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11,083,800.00</w:t>
            </w:r>
          </w:p>
        </w:tc>
        <w:tc>
          <w:tcPr>
            <w:tcW w:w="2142"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jc w:val="right"/>
              <w:rPr>
                <w:rFonts w:ascii="宋体" w:eastAsia="宋体" w:hAnsi="宋体" w:cs="宋体"/>
                <w:sz w:val="18"/>
                <w:szCs w:val="18"/>
              </w:rPr>
            </w:pPr>
          </w:p>
        </w:tc>
      </w:tr>
      <w:tr w:rsidR="00DD59B6" w:rsidTr="001F000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蔡玉栋</w:t>
            </w:r>
          </w:p>
        </w:tc>
        <w:tc>
          <w:tcPr>
            <w:tcW w:w="1305"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134"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0.98%</w:t>
            </w:r>
          </w:p>
        </w:tc>
        <w:tc>
          <w:tcPr>
            <w:tcW w:w="1845"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8,666,200.00</w:t>
            </w:r>
          </w:p>
        </w:tc>
        <w:tc>
          <w:tcPr>
            <w:tcW w:w="2142"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jc w:val="right"/>
              <w:rPr>
                <w:rFonts w:ascii="宋体" w:eastAsia="宋体" w:hAnsi="宋体" w:cs="宋体"/>
                <w:sz w:val="18"/>
                <w:szCs w:val="18"/>
              </w:rPr>
            </w:pPr>
          </w:p>
        </w:tc>
      </w:tr>
      <w:tr w:rsidR="00DD59B6" w:rsidTr="001F000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proofErr w:type="gramStart"/>
            <w:r>
              <w:rPr>
                <w:rFonts w:ascii="宋体" w:eastAsia="宋体" w:hAnsi="宋体" w:cs="宋体"/>
                <w:sz w:val="18"/>
                <w:szCs w:val="18"/>
              </w:rPr>
              <w:t>杨光勇</w:t>
            </w:r>
            <w:proofErr w:type="gramEnd"/>
          </w:p>
        </w:tc>
        <w:tc>
          <w:tcPr>
            <w:tcW w:w="1305"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134"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0.65%</w:t>
            </w:r>
          </w:p>
        </w:tc>
        <w:tc>
          <w:tcPr>
            <w:tcW w:w="1845"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5,788,004.00</w:t>
            </w:r>
          </w:p>
        </w:tc>
        <w:tc>
          <w:tcPr>
            <w:tcW w:w="2142"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jc w:val="right"/>
              <w:rPr>
                <w:rFonts w:ascii="宋体" w:eastAsia="宋体" w:hAnsi="宋体" w:cs="宋体"/>
                <w:sz w:val="18"/>
                <w:szCs w:val="18"/>
              </w:rPr>
            </w:pPr>
          </w:p>
        </w:tc>
      </w:tr>
      <w:tr w:rsidR="00DD59B6" w:rsidTr="001F000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宋建新</w:t>
            </w:r>
          </w:p>
        </w:tc>
        <w:tc>
          <w:tcPr>
            <w:tcW w:w="1305"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134"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0.48%</w:t>
            </w:r>
          </w:p>
        </w:tc>
        <w:tc>
          <w:tcPr>
            <w:tcW w:w="1845"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4,220,100.00</w:t>
            </w:r>
          </w:p>
        </w:tc>
        <w:tc>
          <w:tcPr>
            <w:tcW w:w="2142"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jc w:val="right"/>
              <w:rPr>
                <w:rFonts w:ascii="宋体" w:eastAsia="宋体" w:hAnsi="宋体" w:cs="宋体"/>
                <w:sz w:val="18"/>
                <w:szCs w:val="18"/>
              </w:rPr>
            </w:pPr>
          </w:p>
        </w:tc>
      </w:tr>
      <w:tr w:rsidR="00DD59B6" w:rsidTr="001F000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李蓬勃</w:t>
            </w:r>
          </w:p>
        </w:tc>
        <w:tc>
          <w:tcPr>
            <w:tcW w:w="1305"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134"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0.46%</w:t>
            </w:r>
          </w:p>
        </w:tc>
        <w:tc>
          <w:tcPr>
            <w:tcW w:w="1845"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4,089,000.00</w:t>
            </w:r>
          </w:p>
        </w:tc>
        <w:tc>
          <w:tcPr>
            <w:tcW w:w="2142"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jc w:val="right"/>
              <w:rPr>
                <w:rFonts w:ascii="宋体" w:eastAsia="宋体" w:hAnsi="宋体" w:cs="宋体"/>
                <w:sz w:val="18"/>
                <w:szCs w:val="18"/>
              </w:rPr>
            </w:pPr>
          </w:p>
        </w:tc>
      </w:tr>
      <w:tr w:rsidR="00DD59B6" w:rsidTr="001F000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李敏</w:t>
            </w:r>
          </w:p>
        </w:tc>
        <w:tc>
          <w:tcPr>
            <w:tcW w:w="1305"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134"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1845"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2,920,100.00</w:t>
            </w:r>
          </w:p>
        </w:tc>
        <w:tc>
          <w:tcPr>
            <w:tcW w:w="2142"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jc w:val="right"/>
              <w:rPr>
                <w:rFonts w:ascii="宋体" w:eastAsia="宋体" w:hAnsi="宋体" w:cs="宋体"/>
                <w:sz w:val="18"/>
                <w:szCs w:val="18"/>
              </w:rPr>
            </w:pPr>
          </w:p>
        </w:tc>
      </w:tr>
      <w:tr w:rsidR="00DD59B6" w:rsidTr="001F000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阿斯顿（上海）信息科技合伙企业（有限合伙）</w:t>
            </w:r>
          </w:p>
        </w:tc>
        <w:tc>
          <w:tcPr>
            <w:tcW w:w="1305"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境内非国有法人</w:t>
            </w:r>
          </w:p>
        </w:tc>
        <w:tc>
          <w:tcPr>
            <w:tcW w:w="1134"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1845"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2,908,500.00</w:t>
            </w:r>
          </w:p>
        </w:tc>
        <w:tc>
          <w:tcPr>
            <w:tcW w:w="2142"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jc w:val="right"/>
              <w:rPr>
                <w:rFonts w:ascii="宋体" w:eastAsia="宋体" w:hAnsi="宋体" w:cs="宋体"/>
                <w:sz w:val="18"/>
                <w:szCs w:val="18"/>
              </w:rPr>
            </w:pPr>
          </w:p>
        </w:tc>
      </w:tr>
      <w:tr w:rsidR="00DD59B6" w:rsidTr="001F000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沈加权</w:t>
            </w:r>
          </w:p>
        </w:tc>
        <w:tc>
          <w:tcPr>
            <w:tcW w:w="1305"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134"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1845"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2,887,000.00</w:t>
            </w:r>
          </w:p>
        </w:tc>
        <w:tc>
          <w:tcPr>
            <w:tcW w:w="2142"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jc w:val="right"/>
              <w:rPr>
                <w:rFonts w:ascii="宋体" w:eastAsia="宋体" w:hAnsi="宋体" w:cs="宋体"/>
                <w:sz w:val="18"/>
                <w:szCs w:val="18"/>
              </w:rPr>
            </w:pPr>
          </w:p>
        </w:tc>
      </w:tr>
      <w:tr w:rsidR="00DD59B6" w:rsidTr="001F000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proofErr w:type="gramStart"/>
            <w:r>
              <w:rPr>
                <w:rFonts w:ascii="宋体" w:eastAsia="宋体" w:hAnsi="宋体" w:cs="宋体"/>
                <w:sz w:val="18"/>
                <w:szCs w:val="18"/>
              </w:rPr>
              <w:t>王申安</w:t>
            </w:r>
            <w:proofErr w:type="gramEnd"/>
          </w:p>
        </w:tc>
        <w:tc>
          <w:tcPr>
            <w:tcW w:w="1305"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134" w:type="dxa"/>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0.31%</w:t>
            </w:r>
          </w:p>
        </w:tc>
        <w:tc>
          <w:tcPr>
            <w:tcW w:w="1845" w:type="dxa"/>
            <w:gridSpan w:val="2"/>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jc w:val="right"/>
              <w:rPr>
                <w:rFonts w:ascii="宋体" w:eastAsia="宋体" w:hAnsi="宋体" w:cs="宋体"/>
                <w:sz w:val="18"/>
                <w:szCs w:val="18"/>
              </w:rPr>
            </w:pPr>
            <w:r>
              <w:rPr>
                <w:rFonts w:ascii="宋体" w:eastAsia="宋体" w:hAnsi="宋体" w:cs="宋体"/>
                <w:sz w:val="18"/>
                <w:szCs w:val="18"/>
              </w:rPr>
              <w:t>2,788,000.00</w:t>
            </w:r>
          </w:p>
        </w:tc>
        <w:tc>
          <w:tcPr>
            <w:tcW w:w="2142"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DD59B6" w:rsidRDefault="00DD59B6">
            <w:pPr>
              <w:spacing w:line="240" w:lineRule="exact"/>
              <w:jc w:val="right"/>
              <w:rPr>
                <w:rFonts w:ascii="宋体" w:eastAsia="宋体" w:hAnsi="宋体" w:cs="宋体"/>
                <w:sz w:val="18"/>
                <w:szCs w:val="18"/>
              </w:rPr>
            </w:pPr>
          </w:p>
        </w:tc>
      </w:tr>
      <w:tr w:rsidR="00DD59B6" w:rsidTr="001F0000">
        <w:trPr>
          <w:trHeight w:val="240"/>
        </w:trPr>
        <w:tc>
          <w:tcPr>
            <w:tcW w:w="237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7263" w:type="dxa"/>
            <w:gridSpan w:val="6"/>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公司控股股东江苏华西集团有限公司与前十名股东之间不存在关联关系，也不属于《上市公司持股变动信息披露管理办法》中规定的一致行动人。未知其他股东之间是否存在关联关系，也未知是否属于《上市公司持股变动信息披露管理办法》中规定的一致行动人。</w:t>
            </w:r>
          </w:p>
        </w:tc>
      </w:tr>
      <w:tr w:rsidR="00DD59B6" w:rsidTr="001F0000">
        <w:trPr>
          <w:trHeight w:val="240"/>
        </w:trPr>
        <w:tc>
          <w:tcPr>
            <w:tcW w:w="237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D59B6" w:rsidRDefault="006573E7" w:rsidP="00186ECD">
            <w:pPr>
              <w:spacing w:before="40" w:after="40" w:line="240" w:lineRule="exact"/>
              <w:rPr>
                <w:rFonts w:ascii="宋体" w:eastAsia="宋体" w:hAnsi="宋体" w:cs="宋体"/>
                <w:sz w:val="18"/>
                <w:szCs w:val="18"/>
              </w:rPr>
            </w:pPr>
            <w:r>
              <w:rPr>
                <w:rFonts w:ascii="宋体" w:eastAsia="宋体" w:hAnsi="宋体" w:cs="宋体"/>
                <w:sz w:val="18"/>
                <w:szCs w:val="18"/>
              </w:rPr>
              <w:t>参与融资融券业务股东情况说明</w:t>
            </w:r>
          </w:p>
        </w:tc>
        <w:tc>
          <w:tcPr>
            <w:tcW w:w="7263" w:type="dxa"/>
            <w:gridSpan w:val="6"/>
            <w:tcBorders>
              <w:top w:val="single" w:sz="2" w:space="0" w:color="auto"/>
              <w:left w:val="single" w:sz="2" w:space="0" w:color="auto"/>
              <w:bottom w:val="single" w:sz="2" w:space="0" w:color="auto"/>
              <w:right w:val="single" w:sz="2" w:space="0" w:color="auto"/>
            </w:tcBorders>
            <w:vAlign w:val="center"/>
          </w:tcPr>
          <w:p w:rsidR="00DD59B6" w:rsidRDefault="006573E7">
            <w:pPr>
              <w:spacing w:line="240" w:lineRule="exact"/>
              <w:rPr>
                <w:rFonts w:ascii="宋体" w:eastAsia="宋体" w:hAnsi="宋体" w:cs="宋体"/>
                <w:sz w:val="18"/>
                <w:szCs w:val="18"/>
              </w:rPr>
            </w:pPr>
            <w:r>
              <w:rPr>
                <w:rFonts w:ascii="宋体" w:eastAsia="宋体" w:hAnsi="宋体" w:cs="宋体"/>
                <w:sz w:val="18"/>
                <w:szCs w:val="18"/>
              </w:rPr>
              <w:t>股东“陈朝晖”通过普通账户持有公司股票180,000股，通过信用交易担保证券账户持有公司股票10,903,800股。</w:t>
            </w:r>
          </w:p>
          <w:p w:rsidR="00DD59B6" w:rsidRDefault="006573E7">
            <w:pPr>
              <w:spacing w:line="240" w:lineRule="exact"/>
              <w:rPr>
                <w:rFonts w:ascii="宋体" w:eastAsia="宋体" w:hAnsi="宋体" w:cs="宋体"/>
                <w:sz w:val="18"/>
                <w:szCs w:val="18"/>
              </w:rPr>
            </w:pPr>
            <w:r>
              <w:rPr>
                <w:rFonts w:ascii="宋体" w:eastAsia="宋体" w:hAnsi="宋体" w:cs="宋体"/>
                <w:sz w:val="18"/>
                <w:szCs w:val="18"/>
              </w:rPr>
              <w:t>股东“杨光勇”通过信用交易担保证券账户持有公司股票5,788,004股。</w:t>
            </w:r>
          </w:p>
          <w:p w:rsidR="00DD59B6" w:rsidRDefault="006573E7">
            <w:pPr>
              <w:spacing w:line="240" w:lineRule="exact"/>
              <w:rPr>
                <w:rFonts w:ascii="宋体" w:eastAsia="宋体" w:hAnsi="宋体" w:cs="宋体"/>
                <w:sz w:val="18"/>
                <w:szCs w:val="18"/>
              </w:rPr>
            </w:pPr>
            <w:r>
              <w:rPr>
                <w:rFonts w:ascii="宋体" w:eastAsia="宋体" w:hAnsi="宋体" w:cs="宋体"/>
                <w:sz w:val="18"/>
                <w:szCs w:val="18"/>
              </w:rPr>
              <w:t>股东“宋建新”通过信用交易担保证券账户持有公司股票4,220,100股。</w:t>
            </w:r>
          </w:p>
          <w:p w:rsidR="00DD59B6" w:rsidRDefault="006573E7">
            <w:pPr>
              <w:spacing w:line="240" w:lineRule="exact"/>
              <w:rPr>
                <w:rFonts w:ascii="宋体" w:eastAsia="宋体" w:hAnsi="宋体" w:cs="宋体"/>
                <w:sz w:val="18"/>
                <w:szCs w:val="18"/>
              </w:rPr>
            </w:pPr>
            <w:r>
              <w:rPr>
                <w:rFonts w:ascii="宋体" w:eastAsia="宋体" w:hAnsi="宋体" w:cs="宋体"/>
                <w:sz w:val="18"/>
                <w:szCs w:val="18"/>
              </w:rPr>
              <w:t>股东“李敏”通过普通账户持有公司股票100股，通过信用交易担保证券账户持有公司股票2,920,000股。</w:t>
            </w:r>
          </w:p>
          <w:p w:rsidR="00DD59B6" w:rsidRDefault="006573E7">
            <w:pPr>
              <w:spacing w:line="240" w:lineRule="exact"/>
              <w:rPr>
                <w:rFonts w:ascii="宋体" w:eastAsia="宋体" w:hAnsi="宋体" w:cs="宋体"/>
                <w:sz w:val="18"/>
                <w:szCs w:val="18"/>
              </w:rPr>
            </w:pPr>
            <w:r>
              <w:rPr>
                <w:rFonts w:ascii="宋体" w:eastAsia="宋体" w:hAnsi="宋体" w:cs="宋体"/>
                <w:sz w:val="18"/>
                <w:szCs w:val="18"/>
              </w:rPr>
              <w:t>股东“沈加权”通过信用交易担保证券账户持有公司股票2,887,000股。</w:t>
            </w:r>
          </w:p>
          <w:p w:rsidR="00DD59B6" w:rsidRDefault="006573E7">
            <w:pPr>
              <w:spacing w:line="240" w:lineRule="exact"/>
              <w:rPr>
                <w:rFonts w:ascii="宋体" w:eastAsia="宋体" w:hAnsi="宋体" w:cs="宋体"/>
                <w:sz w:val="18"/>
                <w:szCs w:val="18"/>
              </w:rPr>
            </w:pPr>
            <w:r>
              <w:rPr>
                <w:rFonts w:ascii="宋体" w:eastAsia="宋体" w:hAnsi="宋体" w:cs="宋体"/>
                <w:sz w:val="18"/>
                <w:szCs w:val="18"/>
              </w:rPr>
              <w:t>股东“王申安”通过信用交易担保证券账户持有公司股票2,788,000股。</w:t>
            </w:r>
          </w:p>
        </w:tc>
      </w:tr>
    </w:tbl>
    <w:p w:rsidR="00DD59B6" w:rsidRDefault="006573E7">
      <w:pPr>
        <w:pStyle w:val="3"/>
        <w:spacing w:line="280" w:lineRule="exact"/>
        <w:jc w:val="left"/>
        <w:rPr>
          <w:rFonts w:ascii="宋体" w:hAnsi="宋体" w:cs="宋体"/>
          <w:b/>
          <w:bCs/>
        </w:rPr>
      </w:pPr>
      <w:bookmarkStart w:id="6" w:name="_Toc988894"/>
      <w:r>
        <w:rPr>
          <w:rFonts w:ascii="宋体" w:hAnsi="宋体" w:cs="宋体"/>
          <w:b/>
          <w:bCs/>
        </w:rPr>
        <w:t>4、控股股东或实际控制人变更情况</w:t>
      </w:r>
      <w:bookmarkEnd w:id="6"/>
    </w:p>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控股股东报告期内变更</w:t>
      </w:r>
    </w:p>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公司报告期控股股东未发生变更。</w:t>
      </w:r>
    </w:p>
    <w:p w:rsidR="00DD59B6" w:rsidRDefault="006573E7">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实际控制人报告期内变更</w:t>
      </w:r>
    </w:p>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公司报告期实际控制人未发生变更。</w:t>
      </w:r>
    </w:p>
    <w:p w:rsidR="00DD59B6" w:rsidRDefault="006573E7">
      <w:pPr>
        <w:pStyle w:val="3"/>
        <w:spacing w:line="280" w:lineRule="exact"/>
        <w:jc w:val="left"/>
        <w:rPr>
          <w:rFonts w:ascii="宋体" w:hAnsi="宋体" w:cs="宋体"/>
          <w:b/>
          <w:bCs/>
        </w:rPr>
      </w:pPr>
      <w:bookmarkStart w:id="7" w:name="_Toc988895"/>
      <w:r>
        <w:rPr>
          <w:rFonts w:ascii="宋体" w:hAnsi="宋体" w:cs="宋体"/>
          <w:b/>
          <w:bCs/>
        </w:rPr>
        <w:t>5、公司优先股股东总数及前10名优先股股东持股情况表</w:t>
      </w:r>
      <w:bookmarkEnd w:id="7"/>
    </w:p>
    <w:p w:rsidR="00DD59B6" w:rsidRDefault="00DD59B6">
      <w:pPr>
        <w:spacing w:before="40" w:after="40" w:line="0" w:lineRule="atLeast"/>
      </w:pPr>
    </w:p>
    <w:p w:rsidR="00DD59B6" w:rsidRDefault="006573E7">
      <w:pPr>
        <w:spacing w:line="240" w:lineRule="exact"/>
        <w:rPr>
          <w:rFonts w:ascii="宋体" w:eastAsia="宋体" w:hAnsi="宋体" w:cs="宋体"/>
          <w:sz w:val="18"/>
          <w:szCs w:val="18"/>
        </w:rPr>
      </w:pPr>
      <w:r>
        <w:rPr>
          <w:rFonts w:ascii="宋体" w:eastAsia="宋体" w:hAnsi="宋体" w:cs="宋体"/>
          <w:sz w:val="18"/>
          <w:szCs w:val="18"/>
        </w:rPr>
        <w:t>公司报告期无优先股股东持股情况。</w:t>
      </w:r>
    </w:p>
    <w:p w:rsidR="00DD59B6" w:rsidRDefault="006573E7">
      <w:pPr>
        <w:pStyle w:val="3"/>
        <w:spacing w:line="280" w:lineRule="exact"/>
        <w:jc w:val="left"/>
        <w:rPr>
          <w:rFonts w:ascii="宋体" w:hAnsi="宋体" w:cs="宋体"/>
          <w:b/>
          <w:bCs/>
        </w:rPr>
      </w:pPr>
      <w:bookmarkStart w:id="8" w:name="_Toc988896"/>
      <w:r>
        <w:rPr>
          <w:rFonts w:ascii="宋体" w:hAnsi="宋体" w:cs="宋体"/>
          <w:b/>
          <w:bCs/>
        </w:rPr>
        <w:t>6、在半年度报告批准报出日存续的债券情况</w:t>
      </w:r>
      <w:bookmarkEnd w:id="8"/>
    </w:p>
    <w:p w:rsidR="00DD59B6" w:rsidRDefault="006573E7">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D59B6" w:rsidRDefault="006573E7">
      <w:pPr>
        <w:pStyle w:val="2"/>
        <w:spacing w:before="300" w:after="300" w:line="320" w:lineRule="exact"/>
        <w:rPr>
          <w:rFonts w:ascii="宋体" w:eastAsia="宋体" w:hAnsi="宋体" w:cs="宋体"/>
          <w:b/>
          <w:bCs/>
          <w:sz w:val="24"/>
          <w:szCs w:val="24"/>
        </w:rPr>
      </w:pPr>
      <w:bookmarkStart w:id="9" w:name="_Toc988897"/>
      <w:r>
        <w:rPr>
          <w:rFonts w:ascii="宋体" w:eastAsia="宋体" w:hAnsi="宋体" w:cs="宋体"/>
          <w:b/>
          <w:bCs/>
          <w:sz w:val="24"/>
          <w:szCs w:val="24"/>
        </w:rPr>
        <w:t>三、重要事项</w:t>
      </w:r>
      <w:bookmarkEnd w:id="9"/>
    </w:p>
    <w:p w:rsidR="00BC678D" w:rsidRDefault="00BC678D" w:rsidP="00BC678D">
      <w:pPr>
        <w:pStyle w:val="a3"/>
        <w:spacing w:before="40" w:beforeAutospacing="0" w:after="40" w:afterAutospacing="0"/>
        <w:ind w:firstLine="360"/>
        <w:jc w:val="both"/>
        <w:divId w:val="1778407403"/>
        <w:rPr>
          <w:rFonts w:ascii="Times New Roman" w:hAnsi="Times New Roman" w:cs="Times New Roman"/>
          <w:sz w:val="18"/>
          <w:szCs w:val="18"/>
        </w:rPr>
      </w:pPr>
      <w:r>
        <w:rPr>
          <w:rFonts w:cs="Times New Roman" w:hint="eastAsia"/>
          <w:sz w:val="18"/>
          <w:szCs w:val="18"/>
        </w:rPr>
        <w:t>2022年半年度公司共实现营业收入147,739.10万元，较上年同期增长22.09%；实现营业利润12,984.08万元，较上年同期减少74.60%；实现归属于母公司所有者净利润9,872.81万元，较上年同期减少74.85%；经营活动产生的现金流量净额-9,245.09万元，较上年同期减少510.14%；每股收益0.11元，较上年同期减少75%；每股净资产5.73元，较年初增长1.42%；实现加权平均净资产收益率1.95%，较上年同期减少6.06个百分点。2022年半年度利润较上年同期减少的主要原因：1、化纤产品毛利率下降；2、公司持有的金融资产处置收益和公允价值变动收益同比减少。报告期主要经营情况如下：</w:t>
      </w:r>
    </w:p>
    <w:p w:rsidR="00BC678D" w:rsidRDefault="00BC678D" w:rsidP="00BC678D">
      <w:pPr>
        <w:pStyle w:val="a3"/>
        <w:spacing w:before="40" w:beforeAutospacing="0" w:after="40" w:afterAutospacing="0"/>
        <w:ind w:firstLine="360"/>
        <w:jc w:val="both"/>
        <w:divId w:val="1778407403"/>
        <w:rPr>
          <w:rFonts w:ascii="Times New Roman" w:hAnsi="Times New Roman" w:cs="Times New Roman"/>
          <w:sz w:val="18"/>
          <w:szCs w:val="18"/>
        </w:rPr>
      </w:pPr>
      <w:r>
        <w:rPr>
          <w:rFonts w:cs="Times New Roman" w:hint="eastAsia"/>
          <w:sz w:val="18"/>
          <w:szCs w:val="18"/>
        </w:rPr>
        <w:t>化纤业务：</w:t>
      </w:r>
    </w:p>
    <w:p w:rsidR="00BC678D" w:rsidRDefault="00BC678D" w:rsidP="00BC678D">
      <w:pPr>
        <w:pStyle w:val="a3"/>
        <w:spacing w:before="40" w:beforeAutospacing="0" w:after="40" w:afterAutospacing="0"/>
        <w:ind w:firstLine="360"/>
        <w:jc w:val="both"/>
        <w:divId w:val="1778407403"/>
        <w:rPr>
          <w:rFonts w:ascii="Times New Roman" w:hAnsi="Times New Roman" w:cs="Times New Roman"/>
          <w:sz w:val="18"/>
          <w:szCs w:val="18"/>
        </w:rPr>
      </w:pPr>
      <w:r>
        <w:rPr>
          <w:rFonts w:cs="Times New Roman" w:hint="eastAsia"/>
          <w:sz w:val="18"/>
          <w:szCs w:val="18"/>
        </w:rPr>
        <w:t>2022年上半年，国际国内形势异常严峻，给经济社会的发展带来了诸多不利影响，各行业细分产业链上的企业盈利能力受到较大冲击。从国际方面来看，俄乌局势刺激国际油价持续大涨，公司涤纶短纤维产品的主要原材料PTA、MEG价格也随之攀升，行业面临原材料成本高企的压力。从国内方面来看，新冠肺炎疫情的反复造成了消费端的疲软和物流端的不通畅，行业想要通过产品涨价去库存又没有足够的市场需求支撑，整个产业链的价格传导并不顺畅，物流端的不通畅又拉高了运输成本，不利因素叠加下，“高成本、高库存、低需求、低效益”是化纤行业内各企业面临的最大考验。</w:t>
      </w:r>
    </w:p>
    <w:p w:rsidR="00BC678D" w:rsidRDefault="00BC678D" w:rsidP="00BC678D">
      <w:pPr>
        <w:pStyle w:val="a3"/>
        <w:spacing w:before="40" w:beforeAutospacing="0" w:after="40" w:afterAutospacing="0"/>
        <w:ind w:firstLine="360"/>
        <w:jc w:val="both"/>
        <w:divId w:val="1778407403"/>
        <w:rPr>
          <w:rFonts w:ascii="Times New Roman" w:hAnsi="Times New Roman" w:cs="Times New Roman"/>
          <w:sz w:val="18"/>
          <w:szCs w:val="18"/>
        </w:rPr>
      </w:pPr>
      <w:r>
        <w:rPr>
          <w:rFonts w:cs="Times New Roman" w:hint="eastAsia"/>
          <w:sz w:val="18"/>
          <w:szCs w:val="18"/>
        </w:rPr>
        <w:t>报告期内，公司所在地区发生了一轮新冠肺炎疫情，面对来势汹汹的疫情，公司内部上下团结一致，强化环境消杀和核酸检测工作，关起门来搞发展，虽有</w:t>
      </w:r>
      <w:r w:rsidR="00C32FD3">
        <w:rPr>
          <w:rFonts w:cs="Times New Roman" w:hint="eastAsia"/>
          <w:sz w:val="18"/>
          <w:szCs w:val="18"/>
        </w:rPr>
        <w:t>小</w:t>
      </w:r>
      <w:r>
        <w:rPr>
          <w:rFonts w:cs="Times New Roman" w:hint="eastAsia"/>
          <w:sz w:val="18"/>
          <w:szCs w:val="18"/>
        </w:rPr>
        <w:t>部分生产线停产，但对整体的生产经营影响有限，做到了企业发展和疫情防控的统筹兼顾，也为今后面对疫情防控常态化的挑战积累了宝贵经验。为</w:t>
      </w:r>
      <w:proofErr w:type="gramStart"/>
      <w:r>
        <w:rPr>
          <w:rFonts w:cs="Times New Roman" w:hint="eastAsia"/>
          <w:sz w:val="18"/>
          <w:szCs w:val="18"/>
        </w:rPr>
        <w:t>应对严峻</w:t>
      </w:r>
      <w:proofErr w:type="gramEnd"/>
      <w:r>
        <w:rPr>
          <w:rFonts w:cs="Times New Roman" w:hint="eastAsia"/>
          <w:sz w:val="18"/>
          <w:szCs w:val="18"/>
        </w:rPr>
        <w:t>的外部市场环境，公司发挥在行业深耕多年的丰富经验，通过合理有效地把握采购与销售的节奏，利用相对低价位的原材料库存对冲市场风险，利用期现结合保证订单的稳定性和降库存的效率，保证了产销比的平稳。上半年受整个行业景气度不高，产业</w:t>
      </w:r>
      <w:proofErr w:type="gramStart"/>
      <w:r>
        <w:rPr>
          <w:rFonts w:cs="Times New Roman" w:hint="eastAsia"/>
          <w:sz w:val="18"/>
          <w:szCs w:val="18"/>
        </w:rPr>
        <w:t>链利润</w:t>
      </w:r>
      <w:proofErr w:type="gramEnd"/>
      <w:r>
        <w:rPr>
          <w:rFonts w:cs="Times New Roman" w:hint="eastAsia"/>
          <w:sz w:val="18"/>
          <w:szCs w:val="18"/>
        </w:rPr>
        <w:t>受到挤压，化纤业务成本上升，盈利空间减少影响，公司涤纶短纤维产品毛利率为2.11%，较上年同期减少了7.79个百分点，化纤业务的经营业绩较上年同期有一定幅度的下降。主营产品涤纶短纤维销售量为188,018吨，较上年同期增长了2.93%；生产量182,524吨，较上年同期减少了6.44%；库存量为7,845吨，较年初减少了41.19%；实现销售收入13.35亿元，较上年同期增长了21.99%。</w:t>
      </w:r>
    </w:p>
    <w:p w:rsidR="00BC678D" w:rsidRDefault="00BC678D" w:rsidP="00BC678D">
      <w:pPr>
        <w:pStyle w:val="a3"/>
        <w:spacing w:before="40" w:beforeAutospacing="0" w:after="40" w:afterAutospacing="0"/>
        <w:ind w:firstLine="360"/>
        <w:jc w:val="both"/>
        <w:divId w:val="1778407403"/>
        <w:rPr>
          <w:rFonts w:ascii="Times New Roman" w:hAnsi="Times New Roman" w:cs="Times New Roman"/>
          <w:sz w:val="18"/>
          <w:szCs w:val="18"/>
        </w:rPr>
      </w:pPr>
      <w:r>
        <w:rPr>
          <w:rFonts w:cs="Times New Roman" w:hint="eastAsia"/>
          <w:sz w:val="18"/>
          <w:szCs w:val="18"/>
        </w:rPr>
        <w:t>报告期内，公司通过与</w:t>
      </w:r>
      <w:proofErr w:type="gramStart"/>
      <w:r>
        <w:rPr>
          <w:rFonts w:cs="Times New Roman" w:hint="eastAsia"/>
          <w:sz w:val="18"/>
          <w:szCs w:val="18"/>
        </w:rPr>
        <w:t>设备商村田</w:t>
      </w:r>
      <w:proofErr w:type="gramEnd"/>
      <w:r>
        <w:rPr>
          <w:rFonts w:cs="Times New Roman" w:hint="eastAsia"/>
          <w:sz w:val="18"/>
          <w:szCs w:val="18"/>
        </w:rPr>
        <w:t>机械，客户英特斯、</w:t>
      </w:r>
      <w:proofErr w:type="gramStart"/>
      <w:r>
        <w:rPr>
          <w:rFonts w:cs="Times New Roman" w:hint="eastAsia"/>
          <w:sz w:val="18"/>
          <w:szCs w:val="18"/>
        </w:rPr>
        <w:t>星京泽</w:t>
      </w:r>
      <w:proofErr w:type="gramEnd"/>
      <w:r>
        <w:rPr>
          <w:rFonts w:cs="Times New Roman" w:hint="eastAsia"/>
          <w:sz w:val="18"/>
          <w:szCs w:val="18"/>
        </w:rPr>
        <w:t>等合作开发了细</w:t>
      </w:r>
      <w:proofErr w:type="gramStart"/>
      <w:r>
        <w:rPr>
          <w:rFonts w:cs="Times New Roman" w:hint="eastAsia"/>
          <w:sz w:val="18"/>
          <w:szCs w:val="18"/>
        </w:rPr>
        <w:t>旦</w:t>
      </w:r>
      <w:proofErr w:type="gramEnd"/>
      <w:r>
        <w:rPr>
          <w:rFonts w:cs="Times New Roman" w:hint="eastAsia"/>
          <w:sz w:val="18"/>
          <w:szCs w:val="18"/>
        </w:rPr>
        <w:t>涡流</w:t>
      </w:r>
      <w:proofErr w:type="gramStart"/>
      <w:r>
        <w:rPr>
          <w:rFonts w:cs="Times New Roman" w:hint="eastAsia"/>
          <w:sz w:val="18"/>
          <w:szCs w:val="18"/>
        </w:rPr>
        <w:t>纺</w:t>
      </w:r>
      <w:proofErr w:type="gramEnd"/>
      <w:r>
        <w:rPr>
          <w:rFonts w:cs="Times New Roman" w:hint="eastAsia"/>
          <w:sz w:val="18"/>
          <w:szCs w:val="18"/>
        </w:rPr>
        <w:t>产品，同时满足纱线高速生产与产品性能提升，普通</w:t>
      </w:r>
      <w:proofErr w:type="gramStart"/>
      <w:r>
        <w:rPr>
          <w:rFonts w:cs="Times New Roman" w:hint="eastAsia"/>
          <w:sz w:val="18"/>
          <w:szCs w:val="18"/>
        </w:rPr>
        <w:t>涡流纺用纤维</w:t>
      </w:r>
      <w:proofErr w:type="gramEnd"/>
      <w:r>
        <w:rPr>
          <w:rFonts w:cs="Times New Roman" w:hint="eastAsia"/>
          <w:sz w:val="18"/>
          <w:szCs w:val="18"/>
        </w:rPr>
        <w:t>在最新的870EX设备上实现纯</w:t>
      </w:r>
      <w:proofErr w:type="gramStart"/>
      <w:r>
        <w:rPr>
          <w:rFonts w:cs="Times New Roman" w:hint="eastAsia"/>
          <w:sz w:val="18"/>
          <w:szCs w:val="18"/>
        </w:rPr>
        <w:t>涤</w:t>
      </w:r>
      <w:proofErr w:type="gramEnd"/>
      <w:r>
        <w:rPr>
          <w:rFonts w:cs="Times New Roman" w:hint="eastAsia"/>
          <w:sz w:val="18"/>
          <w:szCs w:val="18"/>
        </w:rPr>
        <w:t>535M/min产业化生产，打造了涡流</w:t>
      </w:r>
      <w:proofErr w:type="gramStart"/>
      <w:r>
        <w:rPr>
          <w:rFonts w:cs="Times New Roman" w:hint="eastAsia"/>
          <w:sz w:val="18"/>
          <w:szCs w:val="18"/>
        </w:rPr>
        <w:t>纺</w:t>
      </w:r>
      <w:proofErr w:type="gramEnd"/>
      <w:r>
        <w:rPr>
          <w:rFonts w:cs="Times New Roman" w:hint="eastAsia"/>
          <w:sz w:val="18"/>
          <w:szCs w:val="18"/>
        </w:rPr>
        <w:t>涤纶短</w:t>
      </w:r>
      <w:proofErr w:type="gramStart"/>
      <w:r>
        <w:rPr>
          <w:rFonts w:cs="Times New Roman" w:hint="eastAsia"/>
          <w:sz w:val="18"/>
          <w:szCs w:val="18"/>
        </w:rPr>
        <w:t>纤</w:t>
      </w:r>
      <w:proofErr w:type="gramEnd"/>
      <w:r>
        <w:rPr>
          <w:rFonts w:cs="Times New Roman" w:hint="eastAsia"/>
          <w:sz w:val="18"/>
          <w:szCs w:val="18"/>
        </w:rPr>
        <w:t>行业的第一品牌。目前该产品的销量也呈逐步递增趋势，由年初的3000吨/月增至4000吨/月。面对内外部环境的压力，公司将继续加强与下游客户的深层次合作，在保证产品质量和供应的同时，深度对接差异化产品开发、技术升级、产业链延伸等，实现产品与设备商、与客户的协同创新，同步升级。</w:t>
      </w:r>
    </w:p>
    <w:p w:rsidR="00BC678D" w:rsidRDefault="00BC678D" w:rsidP="00BC678D">
      <w:pPr>
        <w:pStyle w:val="a3"/>
        <w:spacing w:before="40" w:beforeAutospacing="0" w:after="40" w:afterAutospacing="0"/>
        <w:ind w:firstLine="360"/>
        <w:jc w:val="both"/>
        <w:divId w:val="1778407403"/>
        <w:rPr>
          <w:rFonts w:ascii="Times New Roman" w:hAnsi="Times New Roman" w:cs="Times New Roman"/>
          <w:sz w:val="18"/>
          <w:szCs w:val="18"/>
        </w:rPr>
      </w:pPr>
      <w:r>
        <w:rPr>
          <w:rFonts w:cs="Times New Roman" w:hint="eastAsia"/>
          <w:sz w:val="18"/>
          <w:szCs w:val="18"/>
        </w:rPr>
        <w:t>在产品标准化工作方面，公司参与起草、制定了多项国家、行业相关产品和方法标准制定工作，并荣获中国化学纤维工业协会颁发的“标准化创新单位”奖状。</w:t>
      </w:r>
    </w:p>
    <w:p w:rsidR="00BC678D" w:rsidRDefault="00BC678D" w:rsidP="00BC678D">
      <w:pPr>
        <w:pStyle w:val="a3"/>
        <w:spacing w:before="40" w:beforeAutospacing="0" w:after="40" w:afterAutospacing="0"/>
        <w:ind w:firstLine="360"/>
        <w:jc w:val="both"/>
        <w:divId w:val="1778407403"/>
        <w:rPr>
          <w:rFonts w:ascii="Times New Roman" w:hAnsi="Times New Roman" w:cs="Times New Roman"/>
          <w:sz w:val="18"/>
          <w:szCs w:val="18"/>
        </w:rPr>
      </w:pPr>
      <w:r>
        <w:rPr>
          <w:rFonts w:cs="Times New Roman" w:hint="eastAsia"/>
          <w:sz w:val="18"/>
          <w:szCs w:val="18"/>
        </w:rPr>
        <w:t> </w:t>
      </w:r>
    </w:p>
    <w:p w:rsidR="00BC678D" w:rsidRDefault="00BC678D" w:rsidP="00BC678D">
      <w:pPr>
        <w:pStyle w:val="a3"/>
        <w:spacing w:before="40" w:beforeAutospacing="0" w:after="40" w:afterAutospacing="0"/>
        <w:ind w:firstLine="360"/>
        <w:jc w:val="both"/>
        <w:divId w:val="1778407403"/>
        <w:rPr>
          <w:rFonts w:ascii="Times New Roman" w:hAnsi="Times New Roman" w:cs="Times New Roman"/>
          <w:sz w:val="18"/>
          <w:szCs w:val="18"/>
        </w:rPr>
      </w:pPr>
      <w:r>
        <w:rPr>
          <w:rFonts w:cs="Times New Roman" w:hint="eastAsia"/>
          <w:sz w:val="18"/>
          <w:szCs w:val="18"/>
        </w:rPr>
        <w:t>仓储业务：</w:t>
      </w:r>
    </w:p>
    <w:p w:rsidR="00BC678D" w:rsidRDefault="00BC678D" w:rsidP="00BC678D">
      <w:pPr>
        <w:pStyle w:val="a3"/>
        <w:spacing w:before="40" w:beforeAutospacing="0" w:after="40" w:afterAutospacing="0"/>
        <w:ind w:firstLine="360"/>
        <w:jc w:val="both"/>
        <w:divId w:val="1778407403"/>
        <w:rPr>
          <w:rFonts w:ascii="Times New Roman" w:hAnsi="Times New Roman" w:cs="Times New Roman"/>
          <w:sz w:val="18"/>
          <w:szCs w:val="18"/>
        </w:rPr>
      </w:pPr>
      <w:r>
        <w:rPr>
          <w:rFonts w:cs="Times New Roman" w:hint="eastAsia"/>
          <w:sz w:val="18"/>
          <w:szCs w:val="18"/>
        </w:rPr>
        <w:lastRenderedPageBreak/>
        <w:t>报告期内，</w:t>
      </w:r>
      <w:r w:rsidR="007361EA">
        <w:rPr>
          <w:rFonts w:cs="Times New Roman" w:hint="eastAsia"/>
          <w:sz w:val="18"/>
          <w:szCs w:val="18"/>
        </w:rPr>
        <w:t>华西码头</w:t>
      </w:r>
      <w:r>
        <w:rPr>
          <w:rFonts w:cs="Times New Roman" w:hint="eastAsia"/>
          <w:sz w:val="18"/>
          <w:szCs w:val="18"/>
        </w:rPr>
        <w:t>努力克服新冠疫情对业务开展的影响，稳步高效推进各项工作，以大客户战略为指引，重点开拓生产型工厂和部分产品的大型分销商，目前</w:t>
      </w:r>
      <w:r w:rsidR="007361EA">
        <w:rPr>
          <w:rFonts w:cs="Times New Roman" w:hint="eastAsia"/>
          <w:sz w:val="18"/>
          <w:szCs w:val="18"/>
        </w:rPr>
        <w:t>华西码头</w:t>
      </w:r>
      <w:r>
        <w:rPr>
          <w:rFonts w:cs="Times New Roman" w:hint="eastAsia"/>
          <w:sz w:val="18"/>
          <w:szCs w:val="18"/>
        </w:rPr>
        <w:t>前20名的客户营收占比已达约60%，形成了稳定的客户资源。通过产品结构调整及租赁方式优化，部分产品的仓储份额占行业仓储总量的50%以上，竞争优势明显，企业效益稳定增长。2022年上半年，港口码头进货总量118.95万吨，内贸船70.44万吨，外贸船29.17万吨，车进19.34万吨；实现营业收入12,045.75万元，较上年同期减少3.42%；实现净利润4,907.89万元，较上年同期增长0.19%。</w:t>
      </w:r>
    </w:p>
    <w:p w:rsidR="00BC678D" w:rsidRDefault="007361EA" w:rsidP="00BC678D">
      <w:pPr>
        <w:pStyle w:val="a3"/>
        <w:spacing w:before="40" w:beforeAutospacing="0" w:after="40" w:afterAutospacing="0"/>
        <w:ind w:firstLine="360"/>
        <w:jc w:val="both"/>
        <w:divId w:val="1778407403"/>
        <w:rPr>
          <w:rFonts w:ascii="Times New Roman" w:hAnsi="Times New Roman" w:cs="Times New Roman"/>
          <w:sz w:val="18"/>
          <w:szCs w:val="18"/>
        </w:rPr>
      </w:pPr>
      <w:r>
        <w:rPr>
          <w:rFonts w:cs="Times New Roman" w:hint="eastAsia"/>
          <w:sz w:val="18"/>
          <w:szCs w:val="18"/>
        </w:rPr>
        <w:t>华西码头</w:t>
      </w:r>
      <w:r w:rsidR="00BC678D">
        <w:rPr>
          <w:rFonts w:cs="Times New Roman" w:hint="eastAsia"/>
          <w:sz w:val="18"/>
          <w:szCs w:val="18"/>
        </w:rPr>
        <w:t>将在港口码头运营智能化、信息化方面持续投入，实现“机械化换人、自动化减人、智能化无人”，不断提升企业的安全环保水平，为客户带来更便利快捷的优质服务。目前化工品仓储业务满库容周转，为解决不断增加的仓储需求，</w:t>
      </w:r>
      <w:r>
        <w:rPr>
          <w:rFonts w:cs="Times New Roman" w:hint="eastAsia"/>
          <w:sz w:val="18"/>
          <w:szCs w:val="18"/>
        </w:rPr>
        <w:t>华西码头</w:t>
      </w:r>
      <w:r w:rsidR="00BC678D">
        <w:rPr>
          <w:rFonts w:cs="Times New Roman" w:hint="eastAsia"/>
          <w:sz w:val="18"/>
          <w:szCs w:val="18"/>
        </w:rPr>
        <w:t>采取了在外租赁罐容的方式，也在积极寻找合适的相关港口码头资产，以不断提升业绩水平。</w:t>
      </w:r>
    </w:p>
    <w:p w:rsidR="000E387A" w:rsidRPr="00BC678D" w:rsidRDefault="000E387A">
      <w:pPr>
        <w:pStyle w:val="a3"/>
        <w:spacing w:before="40" w:beforeAutospacing="0" w:after="40" w:afterAutospacing="0"/>
        <w:ind w:firstLine="360"/>
        <w:jc w:val="both"/>
        <w:divId w:val="1778407403"/>
        <w:rPr>
          <w:rFonts w:cs="Times New Roman"/>
          <w:sz w:val="18"/>
          <w:szCs w:val="18"/>
        </w:rPr>
      </w:pPr>
    </w:p>
    <w:p w:rsidR="000E387A" w:rsidRDefault="000E387A">
      <w:pPr>
        <w:pStyle w:val="a3"/>
        <w:spacing w:before="40" w:beforeAutospacing="0" w:after="40" w:afterAutospacing="0"/>
        <w:ind w:firstLine="360"/>
        <w:jc w:val="both"/>
        <w:divId w:val="1778407403"/>
        <w:rPr>
          <w:rFonts w:cs="Times New Roman"/>
          <w:sz w:val="18"/>
          <w:szCs w:val="18"/>
        </w:rPr>
      </w:pPr>
    </w:p>
    <w:p w:rsidR="000E387A" w:rsidRDefault="000E387A">
      <w:pPr>
        <w:pStyle w:val="a3"/>
        <w:spacing w:before="40" w:beforeAutospacing="0" w:after="40" w:afterAutospacing="0"/>
        <w:ind w:firstLine="360"/>
        <w:jc w:val="both"/>
        <w:divId w:val="1778407403"/>
        <w:rPr>
          <w:rFonts w:cs="Times New Roman"/>
          <w:sz w:val="18"/>
          <w:szCs w:val="18"/>
        </w:rPr>
      </w:pPr>
    </w:p>
    <w:p w:rsidR="000E387A" w:rsidRDefault="000E387A">
      <w:pPr>
        <w:pStyle w:val="a3"/>
        <w:spacing w:before="40" w:beforeAutospacing="0" w:after="40" w:afterAutospacing="0"/>
        <w:ind w:firstLine="360"/>
        <w:jc w:val="both"/>
        <w:divId w:val="1778407403"/>
        <w:rPr>
          <w:rFonts w:cs="Times New Roman"/>
          <w:sz w:val="18"/>
          <w:szCs w:val="18"/>
        </w:rPr>
      </w:pPr>
    </w:p>
    <w:p w:rsidR="000E387A" w:rsidRDefault="000E387A" w:rsidP="000E387A">
      <w:pPr>
        <w:autoSpaceDE w:val="0"/>
        <w:autoSpaceDN w:val="0"/>
        <w:adjustRightInd w:val="0"/>
        <w:ind w:firstLine="360"/>
        <w:divId w:val="1778407403"/>
        <w:rPr>
          <w:rFonts w:ascii="宋体" w:cs="宋体"/>
          <w:kern w:val="0"/>
          <w:lang w:val="zh-CN"/>
        </w:rPr>
      </w:pPr>
    </w:p>
    <w:p w:rsidR="000E387A" w:rsidRPr="000E387A" w:rsidRDefault="000E387A" w:rsidP="000E387A">
      <w:pPr>
        <w:pStyle w:val="a3"/>
        <w:spacing w:before="40" w:beforeAutospacing="0" w:after="40" w:afterAutospacing="0"/>
        <w:ind w:firstLine="360"/>
        <w:jc w:val="both"/>
        <w:divId w:val="1778407403"/>
        <w:rPr>
          <w:rFonts w:cs="Times New Roman"/>
          <w:sz w:val="18"/>
          <w:szCs w:val="18"/>
        </w:rPr>
      </w:pPr>
      <w:r>
        <w:rPr>
          <w:rFonts w:hint="eastAsia"/>
          <w:lang w:val="zh-CN"/>
        </w:rPr>
        <w:t xml:space="preserve">                                          </w:t>
      </w:r>
      <w:r w:rsidRPr="000E387A">
        <w:rPr>
          <w:rFonts w:cs="Times New Roman" w:hint="eastAsia"/>
          <w:sz w:val="18"/>
          <w:szCs w:val="18"/>
        </w:rPr>
        <w:t>江苏华西村股份有限公司董事会</w:t>
      </w:r>
    </w:p>
    <w:p w:rsidR="000E387A" w:rsidRPr="000E387A" w:rsidRDefault="000E387A" w:rsidP="000E387A">
      <w:pPr>
        <w:pStyle w:val="a3"/>
        <w:spacing w:before="40" w:beforeAutospacing="0" w:after="40" w:afterAutospacing="0"/>
        <w:ind w:firstLine="360"/>
        <w:jc w:val="both"/>
        <w:divId w:val="1778407403"/>
        <w:rPr>
          <w:rFonts w:cs="Times New Roman"/>
          <w:sz w:val="18"/>
          <w:szCs w:val="18"/>
        </w:rPr>
      </w:pPr>
    </w:p>
    <w:p w:rsidR="000E387A" w:rsidRPr="000E387A" w:rsidRDefault="000E387A" w:rsidP="000E387A">
      <w:pPr>
        <w:pStyle w:val="a3"/>
        <w:spacing w:before="40" w:beforeAutospacing="0" w:after="40" w:afterAutospacing="0"/>
        <w:ind w:firstLine="360"/>
        <w:jc w:val="both"/>
        <w:divId w:val="1778407403"/>
        <w:rPr>
          <w:rFonts w:cs="Times New Roman"/>
          <w:sz w:val="18"/>
          <w:szCs w:val="18"/>
        </w:rPr>
      </w:pPr>
      <w:r w:rsidRPr="000E387A">
        <w:rPr>
          <w:rFonts w:cs="Times New Roman" w:hint="eastAsia"/>
          <w:sz w:val="18"/>
          <w:szCs w:val="18"/>
        </w:rPr>
        <w:t xml:space="preserve">                                                              董事长：吴协恩</w:t>
      </w:r>
    </w:p>
    <w:p w:rsidR="000E387A" w:rsidRPr="000E387A" w:rsidRDefault="000E387A" w:rsidP="000E387A">
      <w:pPr>
        <w:pStyle w:val="a3"/>
        <w:spacing w:before="40" w:beforeAutospacing="0" w:after="40" w:afterAutospacing="0"/>
        <w:ind w:firstLine="360"/>
        <w:jc w:val="both"/>
        <w:divId w:val="1778407403"/>
        <w:rPr>
          <w:rFonts w:cs="Times New Roman"/>
          <w:sz w:val="18"/>
          <w:szCs w:val="18"/>
        </w:rPr>
      </w:pPr>
    </w:p>
    <w:p w:rsidR="000E387A" w:rsidRPr="000E387A" w:rsidRDefault="000E387A" w:rsidP="000E387A">
      <w:pPr>
        <w:pStyle w:val="a3"/>
        <w:spacing w:before="40" w:beforeAutospacing="0" w:after="40" w:afterAutospacing="0"/>
        <w:ind w:firstLine="360"/>
        <w:jc w:val="both"/>
        <w:divId w:val="1778407403"/>
        <w:rPr>
          <w:rFonts w:cs="Times New Roman"/>
          <w:sz w:val="18"/>
          <w:szCs w:val="18"/>
        </w:rPr>
      </w:pPr>
      <w:r w:rsidRPr="000E387A">
        <w:rPr>
          <w:rFonts w:cs="Times New Roman" w:hint="eastAsia"/>
          <w:sz w:val="18"/>
          <w:szCs w:val="18"/>
        </w:rPr>
        <w:t xml:space="preserve">                                  </w:t>
      </w:r>
      <w:r>
        <w:rPr>
          <w:rFonts w:cs="Times New Roman" w:hint="eastAsia"/>
          <w:sz w:val="18"/>
          <w:szCs w:val="18"/>
        </w:rPr>
        <w:t xml:space="preserve">                            2022</w:t>
      </w:r>
      <w:r w:rsidRPr="000E387A">
        <w:rPr>
          <w:rFonts w:cs="Times New Roman" w:hint="eastAsia"/>
          <w:sz w:val="18"/>
          <w:szCs w:val="18"/>
        </w:rPr>
        <w:t>年8月</w:t>
      </w:r>
      <w:r w:rsidR="008462DC">
        <w:rPr>
          <w:rFonts w:cs="Times New Roman" w:hint="eastAsia"/>
          <w:sz w:val="18"/>
          <w:szCs w:val="18"/>
        </w:rPr>
        <w:t>24</w:t>
      </w:r>
      <w:r w:rsidRPr="000E387A">
        <w:rPr>
          <w:rFonts w:cs="Times New Roman" w:hint="eastAsia"/>
          <w:sz w:val="18"/>
          <w:szCs w:val="18"/>
        </w:rPr>
        <w:t>日</w:t>
      </w:r>
    </w:p>
    <w:p w:rsidR="000E387A" w:rsidRPr="000E387A" w:rsidRDefault="000E387A" w:rsidP="000E387A">
      <w:pPr>
        <w:pStyle w:val="a3"/>
        <w:spacing w:before="40" w:beforeAutospacing="0" w:after="40" w:afterAutospacing="0"/>
        <w:ind w:firstLine="360"/>
        <w:jc w:val="both"/>
        <w:divId w:val="1778407403"/>
        <w:rPr>
          <w:rFonts w:cs="Times New Roman"/>
          <w:sz w:val="18"/>
          <w:szCs w:val="18"/>
        </w:rPr>
      </w:pPr>
      <w:r w:rsidRPr="000E387A">
        <w:rPr>
          <w:rFonts w:cs="Times New Roman"/>
          <w:sz w:val="18"/>
          <w:szCs w:val="18"/>
        </w:rPr>
        <w:t xml:space="preserve"> </w:t>
      </w:r>
    </w:p>
    <w:p w:rsidR="000E387A" w:rsidRPr="008462DC" w:rsidRDefault="000E387A">
      <w:pPr>
        <w:pStyle w:val="a3"/>
        <w:spacing w:before="40" w:beforeAutospacing="0" w:after="40" w:afterAutospacing="0"/>
        <w:ind w:firstLine="360"/>
        <w:jc w:val="both"/>
        <w:divId w:val="1778407403"/>
        <w:rPr>
          <w:rFonts w:cs="Times New Roman"/>
          <w:sz w:val="18"/>
          <w:szCs w:val="18"/>
        </w:rPr>
      </w:pPr>
    </w:p>
    <w:sectPr w:rsidR="000E387A" w:rsidRPr="008462DC">
      <w:headerReference w:type="default" r:id="rId7"/>
      <w:footerReference w:type="default" r:id="rId8"/>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1F7" w:rsidRDefault="004111F7">
      <w:r>
        <w:separator/>
      </w:r>
    </w:p>
  </w:endnote>
  <w:endnote w:type="continuationSeparator" w:id="0">
    <w:p w:rsidR="004111F7" w:rsidRDefault="0041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9B6" w:rsidRDefault="006573E7" w:rsidP="000E387A">
    <w:pPr>
      <w:pStyle w:val="fotter1"/>
      <w:jc w:val="center"/>
    </w:pPr>
    <w:r>
      <w:fldChar w:fldCharType="begin"/>
    </w:r>
    <w:r>
      <w:instrText>PAGE   \* MERGEFORMAT</w:instrText>
    </w:r>
    <w:r>
      <w:fldChar w:fldCharType="separate"/>
    </w:r>
    <w:r w:rsidR="00186EC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1F7" w:rsidRDefault="004111F7">
      <w:r>
        <w:separator/>
      </w:r>
    </w:p>
  </w:footnote>
  <w:footnote w:type="continuationSeparator" w:id="0">
    <w:p w:rsidR="004111F7" w:rsidRDefault="00411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9B6" w:rsidRDefault="006573E7">
    <w:pPr>
      <w:pStyle w:val="Header1"/>
      <w:pBdr>
        <w:bottom w:val="single" w:sz="6" w:space="1" w:color="auto"/>
      </w:pBdr>
    </w:pPr>
    <w:r>
      <w:t>江苏华西村股份有限公司2022年半年度报告摘要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D59B6"/>
    <w:rsid w:val="000E387A"/>
    <w:rsid w:val="00186ECD"/>
    <w:rsid w:val="001F0000"/>
    <w:rsid w:val="003D026C"/>
    <w:rsid w:val="004111F7"/>
    <w:rsid w:val="005A2C13"/>
    <w:rsid w:val="006573E7"/>
    <w:rsid w:val="007361EA"/>
    <w:rsid w:val="007A6A87"/>
    <w:rsid w:val="008462DC"/>
    <w:rsid w:val="008811A3"/>
    <w:rsid w:val="00990BD3"/>
    <w:rsid w:val="00A1670D"/>
    <w:rsid w:val="00AD1E1C"/>
    <w:rsid w:val="00B27D5F"/>
    <w:rsid w:val="00BC678D"/>
    <w:rsid w:val="00C32FD3"/>
    <w:rsid w:val="00DD4F79"/>
    <w:rsid w:val="00DD59B6"/>
    <w:rsid w:val="00F37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0E38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E387A"/>
    <w:rPr>
      <w:sz w:val="18"/>
      <w:szCs w:val="18"/>
    </w:rPr>
  </w:style>
  <w:style w:type="paragraph" w:styleId="a5">
    <w:name w:val="footer"/>
    <w:basedOn w:val="a"/>
    <w:link w:val="Char0"/>
    <w:uiPriority w:val="99"/>
    <w:unhideWhenUsed/>
    <w:rsid w:val="000E387A"/>
    <w:pPr>
      <w:tabs>
        <w:tab w:val="center" w:pos="4153"/>
        <w:tab w:val="right" w:pos="8306"/>
      </w:tabs>
      <w:snapToGrid w:val="0"/>
    </w:pPr>
    <w:rPr>
      <w:sz w:val="18"/>
      <w:szCs w:val="18"/>
    </w:rPr>
  </w:style>
  <w:style w:type="character" w:customStyle="1" w:styleId="Char0">
    <w:name w:val="页脚 Char"/>
    <w:basedOn w:val="a0"/>
    <w:link w:val="a5"/>
    <w:uiPriority w:val="99"/>
    <w:rsid w:val="000E387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0E38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E387A"/>
    <w:rPr>
      <w:sz w:val="18"/>
      <w:szCs w:val="18"/>
    </w:rPr>
  </w:style>
  <w:style w:type="paragraph" w:styleId="a5">
    <w:name w:val="footer"/>
    <w:basedOn w:val="a"/>
    <w:link w:val="Char0"/>
    <w:uiPriority w:val="99"/>
    <w:unhideWhenUsed/>
    <w:rsid w:val="000E387A"/>
    <w:pPr>
      <w:tabs>
        <w:tab w:val="center" w:pos="4153"/>
        <w:tab w:val="right" w:pos="8306"/>
      </w:tabs>
      <w:snapToGrid w:val="0"/>
    </w:pPr>
    <w:rPr>
      <w:sz w:val="18"/>
      <w:szCs w:val="18"/>
    </w:rPr>
  </w:style>
  <w:style w:type="character" w:customStyle="1" w:styleId="Char0">
    <w:name w:val="页脚 Char"/>
    <w:basedOn w:val="a0"/>
    <w:link w:val="a5"/>
    <w:uiPriority w:val="99"/>
    <w:rsid w:val="000E38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407403">
      <w:bodyDiv w:val="1"/>
      <w:marLeft w:val="0"/>
      <w:marRight w:val="0"/>
      <w:marTop w:val="0"/>
      <w:marBottom w:val="0"/>
      <w:divBdr>
        <w:top w:val="none" w:sz="0" w:space="0" w:color="auto"/>
        <w:left w:val="none" w:sz="0" w:space="0" w:color="auto"/>
        <w:bottom w:val="none" w:sz="0" w:space="0" w:color="auto"/>
        <w:right w:val="none" w:sz="0" w:space="0" w:color="auto"/>
      </w:divBdr>
      <w:divsChild>
        <w:div w:id="7443027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13</cp:revision>
  <dcterms:created xsi:type="dcterms:W3CDTF">2022-08-04T00:12:00Z</dcterms:created>
  <dcterms:modified xsi:type="dcterms:W3CDTF">2022-08-24T06:48:00Z</dcterms:modified>
</cp:coreProperties>
</file>